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left"/>
      </w:pPr>
      <w:r>
        <w:rPr>
          <w:rFonts w:ascii="Calibri" w:hAnsi="Calibri" w:eastAsia="Calibri"/>
        </w:rPr>
        <w:drawing>
          <wp:inline>
            <wp:extent cx="1024128" cy="10241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x-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24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left"/>
      </w:pPr>
      <w:r>
        <w:rPr>
          <w:rFonts w:ascii="Calibri" w:hAnsi="Calibri" w:eastAsia="Calibri"/>
          <w:b/>
          <w:color w:val="A67727"/>
          <w:sz w:val="22"/>
        </w:rPr>
        <w:t>PROGRAMM DRX — UNABHÄNGIGE DRACHME</w:t>
      </w:r>
    </w:p>
    <w:p>
      <w:pPr>
        <w:spacing w:after="280"/>
        <w:jc w:val="left"/>
      </w:pPr>
      <w:r>
        <w:rPr>
          <w:rFonts w:ascii="Calibri" w:hAnsi="Calibri" w:eastAsia="Calibri"/>
          <w:b/>
          <w:color w:val="5F6B7A"/>
          <w:sz w:val="17"/>
        </w:rPr>
        <w:t>GRIECHISCHE INITIATIVE FÜR WÄHRUNGSTECHNOLOGIE</w:t>
      </w:r>
    </w:p>
    <w:p>
      <w:pPr>
        <w:pStyle w:val="Title"/>
        <w:jc w:val="left"/>
      </w:pPr>
      <w:r>
        <w:rPr>
          <w:rFonts w:ascii="Calibri" w:hAnsi="Calibri" w:eastAsia="Calibri"/>
        </w:rPr>
        <w:t xml:space="preserve">Ministeriumsanschreiben und Einreichungsvorlage</w:t>
      </w:r>
    </w:p>
    <w:p>
      <w:pPr>
        <w:pStyle w:val="Subtitle"/>
        <w:jc w:val="left"/>
      </w:pPr>
      <w:r>
        <w:rPr>
          <w:rFonts w:ascii="Calibri" w:hAnsi="Calibri" w:eastAsia="Calibri"/>
        </w:rPr>
        <w:t xml:space="preserve">PROGRAMM DRX — UNABHÄNGIGE DRACHME · dig Δραχμή (ΔΡΑΧ)</w:t>
      </w:r>
    </w:p>
    <w:p>
      <w:pPr>
        <w:pStyle w:val="Author"/>
      </w:pPr>
      <w:r>
        <w:rPr>
          <w:rFonts w:ascii="Calibri" w:hAnsi="Calibri" w:eastAsia="Calibri"/>
        </w:rPr>
        <w:t xml:space="preserve">Vendetta Labs · Gio (Kaspartizan)</w:t>
      </w:r>
    </w:p>
    <w:p>
      <w:pPr>
        <w:pStyle w:val="Date"/>
      </w:pPr>
      <w:r>
        <w:rPr>
          <w:rFonts w:ascii="Calibri" w:hAnsi="Calibri" w:eastAsia="Calibri"/>
        </w:rPr>
        <w:t xml:space="preserve">September 2026</w:t>
      </w:r>
    </w:p>
    <w:p>
      <w:pPr>
        <w:pStyle w:val="FirstParagraph"/>
      </w:pPr>
      <w:r>
        <w:rPr>
          <w:rFonts w:ascii="Calibri" w:hAnsi="Calibri" w:eastAsia="Calibri"/>
          <w:b/>
          <w:bCs/>
        </w:rPr>
        <w:t xml:space="preserve">An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</w:rPr>
        <w:t xml:space="preserve">Hellenisches Ministerium für Nationale Wirtschaft und Finanzen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</w:rPr>
        <w:t xml:space="preserve">z. H. [Name / Funktion]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</w:rPr>
        <w:t xml:space="preserve">[Dienstanschrift]</w:t>
      </w:r>
    </w:p>
    <w:p>
      <w:pPr>
        <w:pStyle w:val="BodyText"/>
      </w:pPr>
      <w:r>
        <w:rPr>
          <w:rFonts w:ascii="Calibri" w:hAnsi="Calibri" w:eastAsia="Calibri"/>
          <w:b/>
          <w:bCs/>
        </w:rPr>
        <w:t xml:space="preserve">Von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</w:rPr>
        <w:t xml:space="preserve">Vendetta Labs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</w:rPr>
        <w:t xml:space="preserve">Gio (Kaspartizan)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</w:rPr>
        <w:t xml:space="preserve">[Anschrift] · [E-Mail] · [Telefon]</w:t>
      </w:r>
    </w:p>
    <w:p>
      <w:pPr>
        <w:pStyle w:val="BodyText"/>
      </w:pPr>
      <w:r>
        <w:rPr>
          <w:rFonts w:ascii="Calibri" w:hAnsi="Calibri" w:eastAsia="Calibri"/>
          <w:b/>
          <w:bCs/>
        </w:rPr>
        <w:t xml:space="preserve">Betreff: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Bitte um fachliche Prüfung und begrenzte Forschungsfreigabe - „dig Δραχμή (ΔΡΑΧ)“, Phase 0</w:t>
      </w:r>
    </w:p>
    <w:p>
      <w:pPr>
        <w:pStyle w:val="BodyText"/>
      </w:pPr>
      <w:r>
        <w:rPr>
          <w:rFonts w:ascii="Calibri" w:hAnsi="Calibri" w:eastAsia="Calibri"/>
        </w:rPr>
        <w:t xml:space="preserve">Sehr geehrte Damen und Herren,</w:t>
      </w:r>
    </w:p>
    <w:p>
      <w:pPr>
        <w:pStyle w:val="BodyText"/>
      </w:pPr>
      <w:r>
        <w:rPr>
          <w:rFonts w:ascii="Calibri" w:hAnsi="Calibri" w:eastAsia="Calibri"/>
        </w:rPr>
        <w:t xml:space="preserve">anbei überreiche ich eine vorläufige Machbarkeitsstudie für eine eigenständige, harte Rechnungseinheit mit dem Arbeitstitel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  <w:b/>
          <w:bCs/>
        </w:rPr>
        <w:t xml:space="preserve">dig Δραχμή (ΔΡΑΧ)</w:t>
      </w:r>
      <w:r>
        <w:rPr>
          <w:rFonts w:ascii="Calibri" w:hAnsi="Calibri" w:eastAsia="Calibri"/>
        </w:rPr>
        <w:t xml:space="preserve">. Das Konzept untersucht eine digitale Trägerwährung auf Kaspa Toccata, die mit offline-fähigem Wert sowie vollständig digital gedeckten Banknoten und Münzen in einer einzigen, öffentlich prüfbaren Geldmenge zusammenwirkt.</w:t>
      </w:r>
    </w:p>
    <w:p>
      <w:pPr>
        <w:pStyle w:val="BodyText"/>
      </w:pPr>
      <w:r>
        <w:rPr>
          <w:rFonts w:ascii="Calibri" w:hAnsi="Calibri" w:eastAsia="Calibri"/>
        </w:rPr>
        <w:t xml:space="preserve">Der Vorschlag ist ausdrücklich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  <w:b/>
          <w:bCs/>
        </w:rPr>
        <w:t xml:space="preserve">weder ein Antrag auf Währungseinführung noch eine Empfehlung zum Austritt aus der Eurozone</w:t>
      </w:r>
      <w:r>
        <w:rPr>
          <w:rFonts w:ascii="Calibri" w:hAnsi="Calibri" w:eastAsia="Calibri"/>
        </w:rPr>
        <w:t xml:space="preserve">. Innerhalb des geltenden Rechtsrahmens wird ausschließlich eine befristete Phase 0 beantragt: Rechtsgutachten, makroökonomische Simulationen, ein wertloser Testnet-Prototyp und technische Laborprüfungen. Es sollen keine Token mit realem Geldwert, keine nationalen Banknoten oder Münzen, keine Steuerannahme und keine gesetzliche Annahmepflicht geschaffen werden.</w:t>
      </w:r>
    </w:p>
    <w:p>
      <w:pPr>
        <w:pStyle w:val="BodyText"/>
      </w:pPr>
      <w:r>
        <w:rPr>
          <w:rFonts w:ascii="Calibri" w:hAnsi="Calibri" w:eastAsia="Calibri"/>
        </w:rPr>
        <w:t xml:space="preserve">Das System folgt vier überprüfbaren Grundsätzen:</w:t>
      </w:r>
    </w:p>
    <w:p>
      <w:pPr>
        <w:pStyle w:val="Compact"/>
        <w:numPr>
          <w:ilvl w:val="0"/>
          <w:numId w:val="1001"/>
        </w:numPr>
      </w:pPr>
      <w:r>
        <w:rPr>
          <w:rFonts w:ascii="Calibri" w:hAnsi="Calibri" w:eastAsia="Calibri"/>
        </w:rPr>
        <w:t xml:space="preserve">Die Gesamtmenge ist vorab begrenzt; Regierung, Bank und Governance besitzen kein Notfall-Mint-Recht.</w:t>
      </w:r>
    </w:p>
    <w:p>
      <w:pPr>
        <w:pStyle w:val="Compact"/>
        <w:numPr>
          <w:ilvl w:val="0"/>
          <w:numId w:val="1001"/>
        </w:numPr>
      </w:pPr>
      <w:r>
        <w:rPr>
          <w:rFonts w:ascii="Calibri" w:hAnsi="Calibri" w:eastAsia="Calibri"/>
        </w:rPr>
        <w:t xml:space="preserve">Digitaler Wert, Offline-Wert, Papier und Metall sind Formen derselben Einheit. Physisches Geld entsteht nur gegen gleich hohen on-chain Lock.</w:t>
      </w:r>
    </w:p>
    <w:p>
      <w:pPr>
        <w:pStyle w:val="Compact"/>
        <w:numPr>
          <w:ilvl w:val="0"/>
          <w:numId w:val="1001"/>
        </w:numPr>
      </w:pPr>
      <w:r>
        <w:rPr>
          <w:rFonts w:ascii="Calibri" w:hAnsi="Calibri" w:eastAsia="Calibri"/>
        </w:rPr>
        <w:t xml:space="preserve">Der Staat ist ein befristeter Genesis Steward. Mint-, Freeze- und Upgradebefugnisse enden nach einem technisch fixierten Sunset.</w:t>
      </w:r>
    </w:p>
    <w:p>
      <w:pPr>
        <w:pStyle w:val="Compact"/>
        <w:numPr>
          <w:ilvl w:val="0"/>
          <w:numId w:val="1001"/>
        </w:numPr>
      </w:pPr>
      <w:r>
        <w:rPr>
          <w:rFonts w:ascii="Calibri" w:hAnsi="Calibri" w:eastAsia="Calibri"/>
        </w:rPr>
        <w:t xml:space="preserve">Die Studie benennt die Gegenargumente offen: Eurozonenrecht, Kaspa-Abhängigkeit, Deflations- und Kreditrisiken, fehlender unlimitierter Lender of Last Resort, Offline Double Spend und institutionelles Vertrauen im Bargeldarm.</w:t>
      </w:r>
    </w:p>
    <w:p>
      <w:pPr>
        <w:pStyle w:val="FirstParagraph"/>
      </w:pPr>
      <w:r>
        <w:rPr>
          <w:rFonts w:ascii="Calibri" w:hAnsi="Calibri" w:eastAsia="Calibri"/>
        </w:rPr>
        <w:t xml:space="preserve">Beantragt wird die Einrichtung eines ressortübergreifenden Forschungsprogramms für höchstens 18 Monate mit einer meilensteinbasierten Obergrenze von 1,6 Mio. Euro. Eine Zwischenentscheidung soll nach neun Monaten erfolgen; ohne neuen Beschluss endet das Programm automatisch. Bank of Greece, Hellenic Capital Market Commission, Datenschutzbehörde, Rechnungshof sowie unabhängige Rechts-, Makro- und Security-Fachleute sollten als Beobachter beziehungsweise Prüfer eingebunden werden.</w:t>
      </w:r>
    </w:p>
    <w:p>
      <w:pPr>
        <w:pStyle w:val="BodyText"/>
      </w:pPr>
      <w:r>
        <w:rPr>
          <w:rFonts w:ascii="Calibri" w:hAnsi="Calibri" w:eastAsia="Calibri"/>
        </w:rPr>
        <w:t xml:space="preserve">Der staatliche Nutzen besteht auch dann, wenn das Ergebnis „No-Go“ lautet: Griechenland gewinnt belastbare Kompetenz zu UTXO-Covenants, digital gedecktem Bargeld, Offline-Zahlungen und regelgebundener Geldarchitektur. Die Untersuchung stärkt damit die Fähigkeit, künftige internationale Zahlungs- und Digitalgeldmodelle sachlich zu bewerten.</w:t>
      </w:r>
    </w:p>
    <w:p>
      <w:pPr>
        <w:pStyle w:val="BodyText"/>
      </w:pPr>
      <w:r>
        <w:rPr>
          <w:rFonts w:ascii="Calibri" w:hAnsi="Calibri" w:eastAsia="Calibri"/>
        </w:rPr>
        <w:t xml:space="preserve">Ich bitte um: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Benennung einer fachlichen Anlaufstelle;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Prüfung der beigefügten Entscheidungsvorlage;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Erlaubnis zur Vorstellung des Vorhabens in einem technischen und rechtlichen Fachgespräch;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bei grundsätzlichem Interesse die Ausarbeitung eines formalen Phase-0-Mandats unter ministerieller Leitung.</w:t>
      </w:r>
    </w:p>
    <w:p>
      <w:pPr>
        <w:pStyle w:val="FirstParagraph"/>
      </w:pPr>
      <w:r>
        <w:rPr>
          <w:rFonts w:ascii="Calibri" w:hAnsi="Calibri" w:eastAsia="Calibri"/>
        </w:rPr>
        <w:t xml:space="preserve">Mit vorzüglicher Hochachtung</w:t>
      </w:r>
    </w:p>
    <w:p>
      <w:pPr>
        <w:pStyle w:val="BodyText"/>
      </w:pPr>
      <w:r>
        <w:rPr>
          <w:rFonts w:ascii="Calibri" w:hAnsi="Calibri" w:eastAsia="Calibri"/>
          <w:b/>
          <w:bCs/>
        </w:rPr>
        <w:t xml:space="preserve">Gio (Kaspartizan)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</w:rPr>
        <w:t xml:space="preserve">Vendetta Labs</w:t>
      </w:r>
    </w:p>
    <w:p>
      <w:pPr>
        <w:pStyle w:val="BodyText"/>
      </w:pPr>
      <w:r>
        <w:rPr>
          <w:rFonts w:ascii="Calibri" w:hAnsi="Calibri" w:eastAsia="Calibri"/>
          <w:b/>
          <w:bCs/>
        </w:rPr>
        <w:t xml:space="preserve">Anlagen: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Whitepaper und Ministerialdossier „dig Δραχμή (ΔΡΑΧ)“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Executive Decision Memo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Ministeriums-Präsentation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Quellen- und Risikoregister als Bestandteil des Dossiers</w:t>
      </w:r>
    </w:p>
    <w:p>
      <w:pPr>
        <w:pStyle w:val="FirstParagraph"/>
      </w:pPr>
      <w:r>
        <w:rPr>
          <w:rFonts w:ascii="Calibri" w:hAnsi="Calibri" w:eastAsia="Calibri"/>
        </w:rPr>
        <w:br w:type="page"/>
      </w:r>
    </w:p>
    <w:bookmarkStart w:id="9" w:name="interne-anpassungshinweise-vor-versand"/>
    <w:p>
      <w:pPr>
        <w:pStyle w:val="Heading1"/>
      </w:pPr>
      <w:r>
        <w:rPr>
          <w:rFonts w:ascii="Calibri" w:hAnsi="Calibri" w:eastAsia="Calibri"/>
        </w:rPr>
        <w:t xml:space="preserve">Interne Anpassungshinweise vor Versand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Adressat, Dienstanschrift, Aktenzeichen und Kontaktdaten ergänzen.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Griechische Übersetzung durch vereidigten Fachübersetzer und griechischen Währungsrechtler prüfen lassen.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Dokument nicht als „Whitepaper eines Tokens“, sondern als „interdisziplinäre Machbarkeitsstudie“ einreichen.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Keine Preis-, Rendite-, Marktkapitalisierungs- oder Unvermeidlichkeitsbehauptungen aufnehmen.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Anlagenversionsnummern und Hashes vor Versand ergänzen.</w:t>
      </w:r>
    </w:p>
    <w:bookmarkEnd w:id="9"/>
    <w:sectPr>
      <w:headerReference w:type="default" r:id="rId10"/>
      <w:footerReference w:type="default" r:id="rId11"/>
      <w:footnotePr>
        <w:numRestart w:val="eachSect"/>
      </w:footnotePr>
      <w:pgSz w:w="12240" w:h="15840"/>
      <w:pgMar w:top="1440" w:bottom="1440" w:left="1440" w:right="1440" w:header="648" w:footer="648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5F6B7A"/>
        <w:sz w:val="16"/>
      </w:rPr>
      <w:t xml:space="preserve">Seite </w:t>
    </w:r>
    <w:r>
      <w:rPr>
        <w:rFonts w:ascii="Calibri" w:hAnsi="Calibri" w:eastAsia="Calibri"/>
        <w:color w:val="5F6B7A"/>
        <w:sz w:val="16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Calibri"/>
        <w:b/>
        <w:color w:val="5F6B7A"/>
        <w:sz w:val="16"/>
      </w:rPr>
      <w:t>PROGRAMM DRX — UNABHÄNGIGE DRACHME  ·  ΔΡΑΧ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line="264" w:lineRule="auto"/>
      <w:jc w:val="left"/>
    </w:pPr>
    <w:rPr>
      <w:rFonts w:ascii="Calibri" w:hAnsi="Calibri" w:eastAsia="Calibri"/>
      <w:sz w:val="22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keepNext/>
      <w:spacing w:after="200" w:line="240" w:lineRule="auto" w:before="0"/>
      <w:contextualSpacing/>
      <w:jc w:val="center"/>
    </w:pPr>
    <w:rPr>
      <w:rFonts w:asciiTheme="majorHAnsi" w:cstheme="majorBidi" w:eastAsiaTheme="majorEastAsia" w:hAnsiTheme="majorHAnsi" w:ascii="Calibri" w:hAnsi="Calibri" w:eastAsia="Calibri"/>
      <w:b/>
      <w:color w:val="071426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keepNext/>
      <w:numPr>
        <w:ilvl w:val="1"/>
      </w:numPr>
      <w:spacing w:before="0" w:after="400"/>
    </w:pPr>
    <w:rPr>
      <w:rFonts w:cstheme="majorBidi" w:eastAsiaTheme="majorEastAsia" w:ascii="Calibri" w:hAnsi="Calibri" w:eastAsia="Calibri"/>
      <w:b w:val="0"/>
      <w:color w:val="5F6B7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60" w:before="360"/>
      <w:outlineLvl w:val="0"/>
    </w:pPr>
    <w:rPr>
      <w:rFonts w:asciiTheme="majorHAnsi" w:cstheme="majorBidi" w:eastAsiaTheme="majorEastAsia" w:hAnsiTheme="majorHAnsi" w:ascii="Calibri" w:hAnsi="Calibri" w:eastAsia="Calibri"/>
      <w:b/>
      <w:color w:val="1B4F78"/>
      <w:sz w:val="3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80"/>
      <w:outlineLvl w:val="1"/>
    </w:pPr>
    <w:rPr>
      <w:rFonts w:asciiTheme="majorHAnsi" w:cstheme="majorBidi" w:eastAsiaTheme="majorEastAsia" w:hAnsiTheme="majorHAnsi" w:ascii="Calibri" w:hAnsi="Calibri" w:eastAsia="Calibri"/>
      <w:b/>
      <w:color w:val="1B4F78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200"/>
      <w:outlineLvl w:val="2"/>
    </w:pPr>
    <w:rPr>
      <w:rFonts w:cstheme="majorBidi" w:eastAsiaTheme="majorEastAsia" w:ascii="Calibri" w:hAnsi="Calibri" w:eastAsia="Calibri"/>
      <w:b/>
      <w:color w:val="071426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image1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 DRX — UNABHÄNGIGE DRACHME — Ministeriumsanschreiben und Einreichungsvorlage</dc:title>
  <dc:creator>Vendetta Labs · Gio (Kaspartizan)</dc:creator>
  <dc:language>de-DE</dc:language>
  <cp:keywords/>
  <dcterms:created xsi:type="dcterms:W3CDTF">2026-09-01T14:34:03Z</dcterms:created>
  <dcterms:modified xsi:type="dcterms:W3CDTF">2026-09-01T14:34:03Z</dcterms:modified>
  <dc:subject>Öffentliche Forschungsfassung · Kein staatlicher Auftrag · Kein gesetzliches Zahlungsmittel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September 2026</vt:lpwstr>
  </property>
  <property fmtid="{D5CDD505-2E9C-101B-9397-08002B2CF9AE}" pid="3" name="subtitle">
    <vt:lpwstr>PROGRAMM DRX — UNABHÄNGIGE DRACHME · dig Δραχμή (ΔΡΑΧ)</vt:lpwstr>
  </property>
</Properties>
</file>