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jc w:val="left"/>
      </w:pPr>
      <w:r>
        <w:rPr>
          <w:rFonts w:ascii="Calibri" w:hAnsi="Calibri" w:eastAsia="Calibri"/>
        </w:rPr>
        <w:drawing>
          <wp:inline>
            <wp:extent cx="1024128" cy="1024128"/>
            <wp:docPr id="1" name="Picture 1"/>
            <wp:cNvGraphicFramePr>
              <a:graphicFrameLocks noChangeAspect="1"/>
            </wp:cNvGraphicFramePr>
            <a:graphic>
              <a:graphicData uri="http://schemas.openxmlformats.org/drawingml/2006/picture">
                <pic:pic>
                  <pic:nvPicPr>
                    <pic:cNvPr id="0" name="drx-logo.jpg"/>
                    <pic:cNvPicPr/>
                  </pic:nvPicPr>
                  <pic:blipFill>
                    <a:blip r:embed="rId9"/>
                    <a:stretch>
                      <a:fillRect/>
                    </a:stretch>
                  </pic:blipFill>
                  <pic:spPr>
                    <a:xfrm>
                      <a:off x="0" y="0"/>
                      <a:ext cx="1024128" cy="1024128"/>
                    </a:xfrm>
                    <a:prstGeom prst="rect"/>
                  </pic:spPr>
                </pic:pic>
              </a:graphicData>
            </a:graphic>
          </wp:inline>
        </w:drawing>
      </w:r>
    </w:p>
    <w:p>
      <w:pPr>
        <w:spacing w:after="80"/>
        <w:jc w:val="left"/>
      </w:pPr>
      <w:r>
        <w:rPr>
          <w:rFonts w:ascii="Calibri" w:hAnsi="Calibri" w:eastAsia="Calibri"/>
          <w:b/>
          <w:color w:val="A67727"/>
          <w:sz w:val="22"/>
        </w:rPr>
        <w:t>PROGRAMM DRX — UNABHÄNGIGE DRACHME</w:t>
      </w:r>
    </w:p>
    <w:p>
      <w:pPr>
        <w:spacing w:after="280"/>
        <w:jc w:val="left"/>
      </w:pPr>
      <w:r>
        <w:rPr>
          <w:rFonts w:ascii="Calibri" w:hAnsi="Calibri" w:eastAsia="Calibri"/>
          <w:b/>
          <w:color w:val="5F6B7A"/>
          <w:sz w:val="17"/>
        </w:rPr>
        <w:t>GRIECHISCHE INITIATIVE FÜR WÄHRUNGSTECHNOLOGIE</w:t>
      </w:r>
    </w:p>
    <w:p>
      <w:pPr>
        <w:pStyle w:val="Title"/>
        <w:jc w:val="left"/>
      </w:pPr>
      <w:r>
        <w:rPr>
          <w:rFonts w:ascii="Calibri" w:hAnsi="Calibri" w:eastAsia="Calibri"/>
        </w:rPr>
        <w:t xml:space="preserve">Whitepaper und Ministerialdossier</w:t>
      </w:r>
    </w:p>
    <w:p>
      <w:pPr>
        <w:pStyle w:val="Subtitle"/>
        <w:jc w:val="left"/>
      </w:pPr>
      <w:r>
        <w:rPr>
          <w:rFonts w:ascii="Calibri" w:hAnsi="Calibri" w:eastAsia="Calibri"/>
        </w:rPr>
        <w:t xml:space="preserve">PROGRAMM DRX — UNABHÄNGIGE DRACHME · dig Δραχμή (ΔΡΑΧ)</w:t>
      </w:r>
    </w:p>
    <w:p>
      <w:pPr>
        <w:pStyle w:val="Author"/>
      </w:pPr>
      <w:r>
        <w:rPr>
          <w:rFonts w:ascii="Calibri" w:hAnsi="Calibri" w:eastAsia="Calibri"/>
        </w:rPr>
        <w:t xml:space="preserve">Vendetta Labs · Gio (Kaspartizan)</w:t>
      </w:r>
    </w:p>
    <w:p>
      <w:pPr>
        <w:pStyle w:val="Date"/>
      </w:pPr>
      <w:r>
        <w:rPr>
          <w:rFonts w:ascii="Calibri" w:hAnsi="Calibri" w:eastAsia="Calibri"/>
        </w:rPr>
        <w:t xml:space="preserve">September 2026</w:t>
      </w:r>
    </w:p>
    <w:p>
      <w:pPr>
        <w:pStyle w:val="FirstParagraph"/>
      </w:pPr>
      <w:r>
        <w:rPr>
          <w:rFonts w:ascii="Calibri" w:hAnsi="Calibri" w:eastAsia="Calibri"/>
          <w:b/>
          <w:bCs/>
        </w:rPr>
        <w:t xml:space="preserve">WHITEPAPER UND MINISTERIALDOSSIER · ÖFFENTLICHE FORSCHUNGSFASSUNG · VERSION 0.9</w:t>
      </w:r>
    </w:p>
    <w:p>
      <w:pPr>
        <w:pStyle w:val="BodyText"/>
      </w:pPr>
      <w:r>
        <w:rPr>
          <w:rFonts w:ascii="Calibri" w:hAnsi="Calibri" w:eastAsia="Calibri"/>
          <w:b/>
          <w:bCs/>
        </w:rPr>
        <w:t xml:space="preserve">Adressat:</w:t>
      </w:r>
      <w:r>
        <w:rPr>
          <w:rFonts w:ascii="Calibri" w:hAnsi="Calibri" w:eastAsia="Calibri"/>
        </w:rPr>
        <w:t xml:space="preserve"> </w:t>
      </w:r>
      <w:r>
        <w:rPr>
          <w:rFonts w:ascii="Calibri" w:hAnsi="Calibri" w:eastAsia="Calibri"/>
        </w:rPr>
        <w:t xml:space="preserve">Hellenisches Ministerium für Nationale Wirtschaft und Finanzen</w:t>
      </w:r>
      <w:r>
        <w:rPr>
          <w:rFonts w:ascii="Calibri" w:hAnsi="Calibri" w:eastAsia="Calibri"/>
        </w:rPr>
        <w:br/>
      </w:r>
      <w:r>
        <w:rPr>
          <w:rFonts w:ascii="Calibri" w:hAnsi="Calibri" w:eastAsia="Calibri"/>
          <w:b/>
          <w:bCs/>
        </w:rPr>
        <w:t xml:space="preserve">Dokumenttyp:</w:t>
      </w:r>
      <w:r>
        <w:rPr>
          <w:rFonts w:ascii="Calibri" w:hAnsi="Calibri" w:eastAsia="Calibri"/>
        </w:rPr>
        <w:t xml:space="preserve"> </w:t>
      </w:r>
      <w:r>
        <w:rPr>
          <w:rFonts w:ascii="Calibri" w:hAnsi="Calibri" w:eastAsia="Calibri"/>
        </w:rPr>
        <w:t xml:space="preserve">Vorläufige Machbarkeitsstudie; keine Rechtsberatung, kein Emissionsbeschluss und keine Empfehlung zum Austritt aus der Eurozone</w:t>
      </w:r>
      <w:r>
        <w:rPr>
          <w:rFonts w:ascii="Calibri" w:hAnsi="Calibri" w:eastAsia="Calibri"/>
        </w:rPr>
        <w:br/>
      </w:r>
      <w:r>
        <w:rPr>
          <w:rFonts w:ascii="Calibri" w:hAnsi="Calibri" w:eastAsia="Calibri"/>
          <w:b/>
          <w:bCs/>
        </w:rPr>
        <w:t xml:space="preserve">Entscheidungsgegenstand:</w:t>
      </w:r>
      <w:r>
        <w:rPr>
          <w:rFonts w:ascii="Calibri" w:hAnsi="Calibri" w:eastAsia="Calibri"/>
        </w:rPr>
        <w:t xml:space="preserve"> </w:t>
      </w:r>
      <w:r>
        <w:rPr>
          <w:rFonts w:ascii="Calibri" w:hAnsi="Calibri" w:eastAsia="Calibri"/>
        </w:rPr>
        <w:t xml:space="preserve">Genehmigung einer begrenzten Phase-0-Studie und eines wertlosen Testnet-Prototyps</w:t>
      </w:r>
    </w:p>
    <w:p>
      <w:pPr>
        <w:pStyle w:val="BlockText"/>
      </w:pPr>
      <w:r>
        <w:rPr>
          <w:rFonts w:ascii="Calibri" w:hAnsi="Calibri" w:eastAsia="Calibri"/>
          <w:b/>
          <w:bCs/>
        </w:rPr>
        <w:t xml:space="preserve">Prüfsatz:</w:t>
      </w:r>
      <w:r>
        <w:rPr>
          <w:rFonts w:ascii="Calibri" w:hAnsi="Calibri" w:eastAsia="Calibri"/>
        </w:rPr>
        <w:t xml:space="preserve"> </w:t>
      </w:r>
      <w:r>
        <w:rPr>
          <w:rFonts w:ascii="Calibri" w:hAnsi="Calibri" w:eastAsia="Calibri"/>
        </w:rPr>
        <w:t xml:space="preserve">Ein Fischer auf Kalymnos erhält am Sonntag eine ΔΡΑΧ-Banknote, zahlt sie am Montag bei einer Bank ein und erhält denselben Nominalbetrag digital. Weder die Bank noch ein Ministerium können dadurch zusätzliche ΔΡΑΧ erzeugen, eine fremde Self-Custody-Wallet einfrieren oder die verfassungsmäßige Maximalmenge ändern.</w:t>
      </w:r>
    </w:p>
    <w:p>
      <w:pPr>
        <w:pStyle w:val="FirstParagraph"/>
        <w:shd w:fill="FFF7E6"/>
        <w:spacing w:before="200" w:after="200"/>
      </w:pPr>
      <w:r>
        <w:rPr>
          <w:rFonts w:ascii="Calibri" w:hAnsi="Calibri" w:eastAsia="Calibri"/>
          <w:b/>
          <w:bCs/>
        </w:rPr>
        <w:t xml:space="preserve">Veröffentlichungsstatus:</w:t>
      </w:r>
      <w:r>
        <w:rPr>
          <w:rFonts w:ascii="Calibri" w:hAnsi="Calibri" w:eastAsia="Calibri"/>
        </w:rPr>
        <w:t xml:space="preserve"> </w:t>
      </w:r>
      <w:r>
        <w:rPr>
          <w:rFonts w:ascii="Calibri" w:hAnsi="Calibri" w:eastAsia="Calibri"/>
        </w:rPr>
        <w:t xml:space="preserve">Öffentliche Forschungsfassung einer privaten Initiative von Vendetta Labs. Nicht staatlich beauftragt, genehmigt oder gebilligt. Rechtliche, makroökonomische und kryptographische Gegenprüfung steht aus.</w:t>
      </w:r>
    </w:p>
    <w:p>
      <w:pPr>
        <w:pStyle w:val="BodyText"/>
      </w:pPr>
      <w:r>
        <w:rPr>
          <w:rFonts w:ascii="Calibri" w:hAnsi="Calibri" w:eastAsia="Calibri"/>
        </w:rPr>
        <w:br w:type="page"/>
      </w:r>
    </w:p>
    <w:bookmarkStart w:id="9" w:name="inhaltsverzeichnis"/>
    <w:p>
      <w:pPr>
        <w:pStyle w:val="Heading1"/>
      </w:pPr>
      <w:r>
        <w:rPr>
          <w:rFonts w:ascii="Calibri" w:hAnsi="Calibri" w:eastAsia="Calibri"/>
        </w:rPr>
        <w:t xml:space="preserve">Inhaltsverzeichnis</w:t>
      </w:r>
    </w:p>
    <w:p>
      <w:pPr>
        <w:pStyle w:val="Compact"/>
        <w:numPr>
          <w:ilvl w:val="0"/>
          <w:numId w:val="1001"/>
        </w:numPr>
      </w:pPr>
      <w:r>
        <w:rPr>
          <w:rFonts w:ascii="Calibri" w:hAnsi="Calibri" w:eastAsia="Calibri"/>
        </w:rPr>
        <w:t xml:space="preserve">Executive One-Pager</w:t>
      </w:r>
    </w:p>
    <w:p>
      <w:pPr>
        <w:pStyle w:val="Compact"/>
        <w:numPr>
          <w:ilvl w:val="0"/>
          <w:numId w:val="1001"/>
        </w:numPr>
      </w:pPr>
      <w:r>
        <w:rPr>
          <w:rFonts w:ascii="Calibri" w:hAnsi="Calibri" w:eastAsia="Calibri"/>
        </w:rPr>
        <w:t xml:space="preserve">Auftrag, Annahmen und Entscheidungshorizont</w:t>
      </w:r>
    </w:p>
    <w:p>
      <w:pPr>
        <w:pStyle w:val="Compact"/>
        <w:numPr>
          <w:ilvl w:val="0"/>
          <w:numId w:val="1001"/>
        </w:numPr>
      </w:pPr>
      <w:r>
        <w:rPr>
          <w:rFonts w:ascii="Calibri" w:hAnsi="Calibri" w:eastAsia="Calibri"/>
        </w:rPr>
        <w:t xml:space="preserve">Monetäre Verfassung</w:t>
      </w:r>
    </w:p>
    <w:p>
      <w:pPr>
        <w:pStyle w:val="Compact"/>
        <w:numPr>
          <w:ilvl w:val="0"/>
          <w:numId w:val="1001"/>
        </w:numPr>
      </w:pPr>
      <w:r>
        <w:rPr>
          <w:rFonts w:ascii="Calibri" w:hAnsi="Calibri" w:eastAsia="Calibri"/>
        </w:rPr>
        <w:t xml:space="preserve">Technische Architektur auf Kaspa Toccata</w:t>
      </w:r>
    </w:p>
    <w:p>
      <w:pPr>
        <w:pStyle w:val="Compact"/>
        <w:numPr>
          <w:ilvl w:val="0"/>
          <w:numId w:val="1001"/>
        </w:numPr>
      </w:pPr>
      <w:r>
        <w:rPr>
          <w:rFonts w:ascii="Calibri" w:hAnsi="Calibri" w:eastAsia="Calibri"/>
        </w:rPr>
        <w:t xml:space="preserve">Bargeld und Metall: die physische Brücke</w:t>
      </w:r>
    </w:p>
    <w:p>
      <w:pPr>
        <w:pStyle w:val="Compact"/>
        <w:numPr>
          <w:ilvl w:val="0"/>
          <w:numId w:val="1001"/>
        </w:numPr>
      </w:pPr>
      <w:r>
        <w:rPr>
          <w:rFonts w:ascii="Calibri" w:hAnsi="Calibri" w:eastAsia="Calibri"/>
        </w:rPr>
        <w:t xml:space="preserve">Offline-Zahlungen</w:t>
      </w:r>
    </w:p>
    <w:p>
      <w:pPr>
        <w:pStyle w:val="Compact"/>
        <w:numPr>
          <w:ilvl w:val="0"/>
          <w:numId w:val="1001"/>
        </w:numPr>
      </w:pPr>
      <w:r>
        <w:rPr>
          <w:rFonts w:ascii="Calibri" w:hAnsi="Calibri" w:eastAsia="Calibri"/>
        </w:rPr>
        <w:t xml:space="preserve">Banken-, Kredit- und Liquiditätsordnung</w:t>
      </w:r>
    </w:p>
    <w:p>
      <w:pPr>
        <w:pStyle w:val="Compact"/>
        <w:numPr>
          <w:ilvl w:val="0"/>
          <w:numId w:val="1001"/>
        </w:numPr>
      </w:pPr>
      <w:r>
        <w:rPr>
          <w:rFonts w:ascii="Calibri" w:hAnsi="Calibri" w:eastAsia="Calibri"/>
        </w:rPr>
        <w:t xml:space="preserve">Governance und Genesis-Sunset</w:t>
      </w:r>
    </w:p>
    <w:p>
      <w:pPr>
        <w:pStyle w:val="Compact"/>
        <w:numPr>
          <w:ilvl w:val="0"/>
          <w:numId w:val="1001"/>
        </w:numPr>
      </w:pPr>
      <w:r>
        <w:rPr>
          <w:rFonts w:ascii="Calibri" w:hAnsi="Calibri" w:eastAsia="Calibri"/>
        </w:rPr>
        <w:t xml:space="preserve">Rechtliche Architektur</w:t>
      </w:r>
    </w:p>
    <w:p>
      <w:pPr>
        <w:pStyle w:val="Compact"/>
        <w:numPr>
          <w:ilvl w:val="0"/>
          <w:numId w:val="1001"/>
        </w:numPr>
      </w:pPr>
      <w:r>
        <w:rPr>
          <w:rFonts w:ascii="Calibri" w:hAnsi="Calibri" w:eastAsia="Calibri"/>
        </w:rPr>
        <w:t xml:space="preserve">Weltwirtschaftliche Einbindung</w:t>
      </w:r>
    </w:p>
    <w:p>
      <w:pPr>
        <w:pStyle w:val="Compact"/>
        <w:numPr>
          <w:ilvl w:val="0"/>
          <w:numId w:val="1001"/>
        </w:numPr>
      </w:pPr>
      <w:r>
        <w:rPr>
          <w:rFonts w:ascii="Calibri" w:hAnsi="Calibri" w:eastAsia="Calibri"/>
        </w:rPr>
        <w:t xml:space="preserve">Sicherheit und Threat Model</w:t>
      </w:r>
    </w:p>
    <w:p>
      <w:pPr>
        <w:pStyle w:val="Compact"/>
        <w:numPr>
          <w:ilvl w:val="0"/>
          <w:numId w:val="1001"/>
        </w:numPr>
      </w:pPr>
      <w:r>
        <w:rPr>
          <w:rFonts w:ascii="Calibri" w:hAnsi="Calibri" w:eastAsia="Calibri"/>
        </w:rPr>
        <w:t xml:space="preserve">Implementierungsakte und Phase-0-Plan</w:t>
      </w:r>
    </w:p>
    <w:p>
      <w:pPr>
        <w:pStyle w:val="Compact"/>
        <w:numPr>
          <w:ilvl w:val="0"/>
          <w:numId w:val="1001"/>
        </w:numPr>
      </w:pPr>
      <w:r>
        <w:rPr>
          <w:rFonts w:ascii="Calibri" w:hAnsi="Calibri" w:eastAsia="Calibri"/>
        </w:rPr>
        <w:t xml:space="preserve">Ministerialer Entscheidungsantrag</w:t>
      </w:r>
    </w:p>
    <w:p>
      <w:pPr>
        <w:pStyle w:val="Compact"/>
        <w:numPr>
          <w:ilvl w:val="0"/>
          <w:numId w:val="1001"/>
        </w:numPr>
      </w:pPr>
      <w:r>
        <w:rPr>
          <w:rFonts w:ascii="Calibri" w:hAnsi="Calibri" w:eastAsia="Calibri"/>
        </w:rPr>
        <w:t xml:space="preserve">Anhang A - Genesis- und Protokollparameter</w:t>
      </w:r>
    </w:p>
    <w:p>
      <w:pPr>
        <w:pStyle w:val="Compact"/>
        <w:numPr>
          <w:ilvl w:val="0"/>
          <w:numId w:val="1001"/>
        </w:numPr>
      </w:pPr>
      <w:r>
        <w:rPr>
          <w:rFonts w:ascii="Calibri" w:hAnsi="Calibri" w:eastAsia="Calibri"/>
        </w:rPr>
        <w:t xml:space="preserve">Anhang B - Beispieltransaktionen</w:t>
      </w:r>
    </w:p>
    <w:p>
      <w:pPr>
        <w:pStyle w:val="Compact"/>
        <w:numPr>
          <w:ilvl w:val="0"/>
          <w:numId w:val="1001"/>
        </w:numPr>
      </w:pPr>
      <w:r>
        <w:rPr>
          <w:rFonts w:ascii="Calibri" w:hAnsi="Calibri" w:eastAsia="Calibri"/>
        </w:rPr>
        <w:t xml:space="preserve">Anhang C - Glossar</w:t>
      </w:r>
    </w:p>
    <w:p>
      <w:pPr>
        <w:pStyle w:val="Compact"/>
        <w:numPr>
          <w:ilvl w:val="0"/>
          <w:numId w:val="1001"/>
        </w:numPr>
      </w:pPr>
      <w:r>
        <w:rPr>
          <w:rFonts w:ascii="Calibri" w:hAnsi="Calibri" w:eastAsia="Calibri"/>
        </w:rPr>
        <w:t xml:space="preserve">Anhang D - Quellen- und Verifikationsregister</w:t>
      </w:r>
    </w:p>
    <w:p>
      <w:pPr>
        <w:pStyle w:val="Compact"/>
        <w:numPr>
          <w:ilvl w:val="0"/>
          <w:numId w:val="1001"/>
        </w:numPr>
      </w:pPr>
      <w:r>
        <w:rPr>
          <w:rFonts w:ascii="Calibri" w:hAnsi="Calibri" w:eastAsia="Calibri"/>
        </w:rPr>
        <w:t xml:space="preserve">Ehrliches Restrisiko</w:t>
      </w:r>
    </w:p>
    <w:p>
      <w:pPr>
        <w:pStyle w:val="FirstParagraph"/>
      </w:pPr>
      <w:r>
        <w:rPr>
          <w:rFonts w:ascii="Calibri" w:hAnsi="Calibri" w:eastAsia="Calibri"/>
        </w:rPr>
        <w:br w:type="page"/>
      </w:r>
    </w:p>
    <w:bookmarkEnd w:id="9"/>
    <w:bookmarkStart w:id="14" w:name="X360847a5da0acd56015a0ee57f50751a277b4e4"/>
    <w:p>
      <w:pPr>
        <w:pStyle w:val="Heading1"/>
      </w:pPr>
      <w:r>
        <w:rPr>
          <w:rFonts w:ascii="Calibri" w:hAnsi="Calibri" w:eastAsia="Calibri"/>
        </w:rPr>
        <w:t xml:space="preserve">0. Executive One-Pager</w:t>
      </w:r>
    </w:p>
    <w:bookmarkStart w:id="10" w:name="Xd74ce2a72de3b9c128d59b3145b6574cbe29847"/>
    <w:p>
      <w:pPr>
        <w:pStyle w:val="Heading2"/>
      </w:pPr>
      <w:r>
        <w:rPr>
          <w:rFonts w:ascii="Calibri" w:hAnsi="Calibri" w:eastAsia="Calibri"/>
        </w:rPr>
        <w:t xml:space="preserve">0.1 Was vorgeschlagen wird</w:t>
      </w:r>
    </w:p>
    <w:p>
      <w:pPr>
        <w:pStyle w:val="FirstParagraph"/>
      </w:pPr>
      <w:r>
        <w:rPr>
          <w:rFonts w:ascii="Calibri" w:hAnsi="Calibri" w:eastAsia="Calibri"/>
        </w:rPr>
        <w:t xml:space="preserve">ΔΡΑΧ ist eine eigenständige Rechnungseinheit mit drei gleichrangigen Trägerformen: on-chain Bearer Value, vorfinanzierter Offline-Wert in zertifizierten Secure Elements sowie Banknoten und Münzen. Alle Formen gehören zu</w:t>
      </w:r>
      <w:r>
        <w:rPr>
          <w:rFonts w:ascii="Calibri" w:hAnsi="Calibri" w:eastAsia="Calibri"/>
        </w:rPr>
        <w:t xml:space="preserve"> </w:t>
      </w:r>
      <w:r>
        <w:rPr>
          <w:rFonts w:ascii="Calibri" w:hAnsi="Calibri" w:eastAsia="Calibri"/>
          <w:b/>
          <w:bCs/>
        </w:rPr>
        <w:t xml:space="preserve">einer</w:t>
      </w:r>
      <w:r>
        <w:rPr>
          <w:rFonts w:ascii="Calibri" w:hAnsi="Calibri" w:eastAsia="Calibri"/>
        </w:rPr>
        <w:t xml:space="preserve"> </w:t>
      </w:r>
      <w:r>
        <w:rPr>
          <w:rFonts w:ascii="Calibri" w:hAnsi="Calibri" w:eastAsia="Calibri"/>
        </w:rPr>
        <w:t xml:space="preserve">Geldmenge. Papier und Metall sind keine zweite Währung und kein Anspruch auf einen zusätzlichen Token. Jede physische Ausgabe setzt voraus, dass derselbe Nominalbetrag digital in einem öffentlich prüfbaren CashLot-Covenant gesperrt wurde.</w:t>
      </w:r>
    </w:p>
    <w:p>
      <w:pPr>
        <w:pStyle w:val="BodyText"/>
      </w:pPr>
      <w:r>
        <w:rPr>
          <w:rFonts w:ascii="Calibri" w:hAnsi="Calibri" w:eastAsia="Calibri"/>
        </w:rPr>
        <w:t xml:space="preserve">Der digitale Kern soll auf</w:t>
      </w:r>
      <w:r>
        <w:rPr>
          <w:rFonts w:ascii="Calibri" w:hAnsi="Calibri" w:eastAsia="Calibri"/>
        </w:rPr>
        <w:t xml:space="preserve"> </w:t>
      </w:r>
      <w:r>
        <w:rPr>
          <w:rFonts w:ascii="Calibri" w:hAnsi="Calibri" w:eastAsia="Calibri"/>
          <w:b/>
          <w:bCs/>
        </w:rPr>
        <w:t xml:space="preserve">Kaspa Toccata</w:t>
      </w:r>
      <w:r>
        <w:rPr>
          <w:rFonts w:ascii="Calibri" w:hAnsi="Calibri" w:eastAsia="Calibri"/>
        </w:rPr>
        <w:t xml:space="preserve"> </w:t>
      </w:r>
      <w:r>
        <w:rPr>
          <w:rFonts w:ascii="Calibri" w:hAnsi="Calibri" w:eastAsia="Calibri"/>
        </w:rPr>
        <w:t xml:space="preserve">als UTXO-nativer Covenant-Familie prototypisiert werden. ΔΡΑΧ ist dabei weder KAS noch ein KAS-Fork noch ein Wrapped Token. KAS dient in der ersten Architektur nur als Netzwerkgebühr und Sicherheitsasset. Die Geldordnung selbst wird durch konservierende UTXO-Übergänge, eine vorab definierte Maximalmenge und einen öffentlich nachweisbaren Genesis-Sunset bestimmt.</w:t>
      </w:r>
    </w:p>
    <w:bookmarkEnd w:id="10"/>
    <w:bookmarkStart w:id="11" w:name="Xb81892814013fd5a6a06867ca6d8a1211c4eaa0"/>
    <w:p>
      <w:pPr>
        <w:pStyle w:val="Heading2"/>
      </w:pPr>
      <w:r>
        <w:rPr>
          <w:rFonts w:ascii="Calibri" w:hAnsi="Calibri" w:eastAsia="Calibri"/>
        </w:rPr>
        <w:t xml:space="preserve">0.2 Was ausdrücklich nicht vorgeschlagen wird</w:t>
      </w:r>
    </w:p>
    <w:p>
      <w:pPr>
        <w:pStyle w:val="Compact"/>
        <w:numPr>
          <w:ilvl w:val="0"/>
          <w:numId w:val="1002"/>
        </w:numPr>
      </w:pPr>
      <w:r>
        <w:rPr>
          <w:rFonts w:ascii="Calibri" w:hAnsi="Calibri" w:eastAsia="Calibri"/>
        </w:rPr>
        <w:t xml:space="preserve">keine CBDC mit Bürgerkonten bei einer Zentralbank;</w:t>
      </w:r>
    </w:p>
    <w:p>
      <w:pPr>
        <w:pStyle w:val="Compact"/>
        <w:numPr>
          <w:ilvl w:val="0"/>
          <w:numId w:val="1002"/>
        </w:numPr>
      </w:pPr>
      <w:r>
        <w:rPr>
          <w:rFonts w:ascii="Calibri" w:hAnsi="Calibri" w:eastAsia="Calibri"/>
        </w:rPr>
        <w:t xml:space="preserve">kein Peg zu EUR oder USD und kein offizielles Peg-Stability-Modul;</w:t>
      </w:r>
    </w:p>
    <w:p>
      <w:pPr>
        <w:pStyle w:val="Compact"/>
        <w:numPr>
          <w:ilvl w:val="0"/>
          <w:numId w:val="1002"/>
        </w:numPr>
      </w:pPr>
      <w:r>
        <w:rPr>
          <w:rFonts w:ascii="Calibri" w:hAnsi="Calibri" w:eastAsia="Calibri"/>
        </w:rPr>
        <w:t xml:space="preserve">kein Minting gegen USDC, USDT, EURC oder Bankguthaben;</w:t>
      </w:r>
    </w:p>
    <w:p>
      <w:pPr>
        <w:pStyle w:val="Compact"/>
        <w:numPr>
          <w:ilvl w:val="0"/>
          <w:numId w:val="1002"/>
        </w:numPr>
      </w:pPr>
      <w:r>
        <w:rPr>
          <w:rFonts w:ascii="Calibri" w:hAnsi="Calibri" w:eastAsia="Calibri"/>
        </w:rPr>
        <w:t xml:space="preserve">keine diskretionäre Geldschöpfung durch Regierung, Bank oder Governance;</w:t>
      </w:r>
    </w:p>
    <w:p>
      <w:pPr>
        <w:pStyle w:val="Compact"/>
        <w:numPr>
          <w:ilvl w:val="0"/>
          <w:numId w:val="1002"/>
        </w:numPr>
      </w:pPr>
      <w:r>
        <w:rPr>
          <w:rFonts w:ascii="Calibri" w:hAnsi="Calibri" w:eastAsia="Calibri"/>
        </w:rPr>
        <w:t xml:space="preserve">kein Versprechen völlig anonymer Intermediärdienste oder trustloser Offline-Finalität;</w:t>
      </w:r>
    </w:p>
    <w:p>
      <w:pPr>
        <w:pStyle w:val="Compact"/>
        <w:numPr>
          <w:ilvl w:val="0"/>
          <w:numId w:val="1002"/>
        </w:numPr>
      </w:pPr>
      <w:r>
        <w:rPr>
          <w:rFonts w:ascii="Calibri" w:hAnsi="Calibri" w:eastAsia="Calibri"/>
        </w:rPr>
        <w:t xml:space="preserve">keine Behauptung, andere Staaten, Börsen oder Banken könnten ΔΡΑΧ nicht ausschließen;</w:t>
      </w:r>
    </w:p>
    <w:p>
      <w:pPr>
        <w:pStyle w:val="Compact"/>
        <w:numPr>
          <w:ilvl w:val="0"/>
          <w:numId w:val="1002"/>
        </w:numPr>
      </w:pPr>
      <w:r>
        <w:rPr>
          <w:rFonts w:ascii="Calibri" w:hAnsi="Calibri" w:eastAsia="Calibri"/>
        </w:rPr>
        <w:t xml:space="preserve">keine Einführung als gesetzliches Zahlungsmittel innerhalb der Eurozone im Rahmen von Phase 0.</w:t>
      </w:r>
    </w:p>
    <w:bookmarkEnd w:id="11"/>
    <w:bookmarkStart w:id="12" w:name="Xa881b19dd0dd2a8615a28b2a6c8d1f5731fbe05"/>
    <w:p>
      <w:pPr>
        <w:pStyle w:val="Heading2"/>
      </w:pPr>
      <w:r>
        <w:rPr>
          <w:rFonts w:ascii="Calibri" w:hAnsi="Calibri" w:eastAsia="Calibri"/>
        </w:rPr>
        <w:t xml:space="preserve">0.3 Empfohlene Entscheidung</w:t>
      </w:r>
    </w:p>
    <w:p>
      <w:pPr>
        <w:pStyle w:val="FirstParagraph"/>
      </w:pPr>
      <w:r>
        <w:rPr>
          <w:rFonts w:ascii="Calibri" w:hAnsi="Calibri" w:eastAsia="Calibri"/>
        </w:rPr>
        <w:t xml:space="preserve">Genehmigt werden soll ausschließlich eine</w:t>
      </w:r>
      <w:r>
        <w:rPr>
          <w:rFonts w:ascii="Calibri" w:hAnsi="Calibri" w:eastAsia="Calibri"/>
        </w:rPr>
        <w:t xml:space="preserve"> </w:t>
      </w:r>
      <w:r>
        <w:rPr>
          <w:rFonts w:ascii="Calibri" w:hAnsi="Calibri" w:eastAsia="Calibri"/>
          <w:b/>
          <w:bCs/>
        </w:rPr>
        <w:t xml:space="preserve">12- bis 18-monatige Phase 0</w:t>
      </w:r>
      <w:r>
        <w:rPr>
          <w:rFonts w:ascii="Calibri" w:hAnsi="Calibri" w:eastAsia="Calibri"/>
        </w:rPr>
        <w:t xml:space="preserve"> </w:t>
      </w:r>
      <w:r>
        <w:rPr>
          <w:rFonts w:ascii="Calibri" w:hAnsi="Calibri" w:eastAsia="Calibri"/>
        </w:rPr>
        <w:t xml:space="preserve">mit einem Budgetkorridor von</w:t>
      </w:r>
      <w:r>
        <w:rPr>
          <w:rFonts w:ascii="Calibri" w:hAnsi="Calibri" w:eastAsia="Calibri"/>
        </w:rPr>
        <w:t xml:space="preserve"> </w:t>
      </w:r>
      <w:r>
        <w:rPr>
          <w:rFonts w:ascii="Calibri" w:hAnsi="Calibri" w:eastAsia="Calibri"/>
          <w:b/>
          <w:bCs/>
        </w:rPr>
        <w:t xml:space="preserve">0,95 bis 1,65 Mio. Euro</w:t>
      </w:r>
      <w:r>
        <w:rPr>
          <w:rFonts w:ascii="Calibri" w:hAnsi="Calibri" w:eastAsia="Calibri"/>
        </w:rPr>
        <w:t xml:space="preserve"> </w:t>
      </w:r>
      <w:r>
        <w:rPr>
          <w:rFonts w:ascii="Calibri" w:hAnsi="Calibri" w:eastAsia="Calibri"/>
        </w:rPr>
        <w:t xml:space="preserve">und einer beantragten Obergrenze von</w:t>
      </w:r>
      <w:r>
        <w:rPr>
          <w:rFonts w:ascii="Calibri" w:hAnsi="Calibri" w:eastAsia="Calibri"/>
        </w:rPr>
        <w:t xml:space="preserve"> </w:t>
      </w:r>
      <w:r>
        <w:rPr>
          <w:rFonts w:ascii="Calibri" w:hAnsi="Calibri" w:eastAsia="Calibri"/>
          <w:b/>
          <w:bCs/>
        </w:rPr>
        <w:t xml:space="preserve">1,6 Mio. Euro</w:t>
      </w:r>
      <w:r>
        <w:rPr>
          <w:rFonts w:ascii="Calibri" w:hAnsi="Calibri" w:eastAsia="Calibri"/>
        </w:rPr>
        <w:t xml:space="preserve">: Rechtsgutachten, makroökonomische Simulationen, ein wertloser Kaspa-Testnet-Prototyp, CashLot- und Offline-Labormodelle sowie unabhängige Security Reviews. Weder Mainnet-Wert noch Banknoten mit Nennwert noch Steuerannahme sind Teil dieser Freigabe.</w:t>
      </w:r>
    </w:p>
    <w:bookmarkEnd w:id="12"/>
    <w:bookmarkStart w:id="13" w:name="X5e37b41ebfce8b46af76b086ae41c7fd139d40d"/>
    <w:p>
      <w:pPr>
        <w:pStyle w:val="Heading2"/>
      </w:pPr>
      <w:r>
        <w:rPr>
          <w:rFonts w:ascii="Calibri" w:hAnsi="Calibri" w:eastAsia="Calibri"/>
        </w:rPr>
        <w:t xml:space="preserve">0.4 Zehn Verfassungsregeln</w:t>
      </w:r>
    </w:p>
    <w:p>
      <w:pPr>
        <w:pStyle w:val="Compact"/>
        <w:numPr>
          <w:ilvl w:val="0"/>
          <w:numId w:val="1003"/>
        </w:numPr>
      </w:pPr>
      <w:r>
        <w:rPr>
          <w:rFonts w:ascii="Calibri" w:hAnsi="Calibri" w:eastAsia="Calibri"/>
          <w:b/>
          <w:bCs/>
        </w:rPr>
        <w:t xml:space="preserve">Eine Einheit, eine Geldmenge:</w:t>
      </w:r>
      <w:r>
        <w:rPr>
          <w:rFonts w:ascii="Calibri" w:hAnsi="Calibri" w:eastAsia="Calibri"/>
        </w:rPr>
        <w:t xml:space="preserve"> </w:t>
      </w:r>
      <w:r>
        <w:rPr>
          <w:rStyle w:val="VerbatimChar"/>
          <w:rFonts w:ascii="Calibri" w:hAnsi="Calibri" w:eastAsia="Calibri"/>
        </w:rPr>
        <w:t xml:space="preserve">S = D + P + O + E</w:t>
      </w:r>
      <w:r>
        <w:rPr>
          <w:rFonts w:ascii="Calibri" w:hAnsi="Calibri" w:eastAsia="Calibri"/>
        </w:rPr>
        <w:t xml:space="preserve">.</w:t>
      </w:r>
    </w:p>
    <w:p>
      <w:pPr>
        <w:pStyle w:val="Compact"/>
        <w:numPr>
          <w:ilvl w:val="0"/>
          <w:numId w:val="1003"/>
        </w:numPr>
      </w:pPr>
      <w:r>
        <w:rPr>
          <w:rFonts w:ascii="Calibri" w:hAnsi="Calibri" w:eastAsia="Calibri"/>
          <w:b/>
          <w:bCs/>
        </w:rPr>
        <w:t xml:space="preserve">Harte Obergrenze:</w:t>
      </w:r>
      <w:r>
        <w:rPr>
          <w:rFonts w:ascii="Calibri" w:hAnsi="Calibri" w:eastAsia="Calibri"/>
        </w:rPr>
        <w:t xml:space="preserve"> </w:t>
      </w:r>
      <w:r>
        <w:rPr>
          <w:rStyle w:val="VerbatimChar"/>
          <w:rFonts w:ascii="Calibri" w:hAnsi="Calibri" w:eastAsia="Calibri"/>
        </w:rPr>
        <w:t xml:space="preserve">S ≤ Mmax</w:t>
      </w:r>
      <w:r>
        <w:rPr>
          <w:rFonts w:ascii="Calibri" w:hAnsi="Calibri" w:eastAsia="Calibri"/>
        </w:rPr>
        <w:t xml:space="preserve">; kein Notfall-Mint.</w:t>
      </w:r>
    </w:p>
    <w:p>
      <w:pPr>
        <w:pStyle w:val="Compact"/>
        <w:numPr>
          <w:ilvl w:val="0"/>
          <w:numId w:val="1003"/>
        </w:numPr>
      </w:pPr>
      <w:r>
        <w:rPr>
          <w:rFonts w:ascii="Calibri" w:hAnsi="Calibri" w:eastAsia="Calibri"/>
          <w:b/>
          <w:bCs/>
        </w:rPr>
        <w:t xml:space="preserve">Formwechsel ohne Schöpfung:</w:t>
      </w:r>
      <w:r>
        <w:rPr>
          <w:rFonts w:ascii="Calibri" w:hAnsi="Calibri" w:eastAsia="Calibri"/>
        </w:rPr>
        <w:t xml:space="preserve"> </w:t>
      </w:r>
      <w:r>
        <w:rPr>
          <w:rFonts w:ascii="Calibri" w:hAnsi="Calibri" w:eastAsia="Calibri"/>
        </w:rPr>
        <w:t xml:space="preserve">Digital, offline, Note und Münze verändern S nicht.</w:t>
      </w:r>
    </w:p>
    <w:p>
      <w:pPr>
        <w:pStyle w:val="Compact"/>
        <w:numPr>
          <w:ilvl w:val="0"/>
          <w:numId w:val="1003"/>
        </w:numPr>
      </w:pPr>
      <w:r>
        <w:rPr>
          <w:rFonts w:ascii="Calibri" w:hAnsi="Calibri" w:eastAsia="Calibri"/>
          <w:b/>
          <w:bCs/>
        </w:rPr>
        <w:t xml:space="preserve">Keine Freeze-Funktion im Kern:</w:t>
      </w:r>
      <w:r>
        <w:rPr>
          <w:rFonts w:ascii="Calibri" w:hAnsi="Calibri" w:eastAsia="Calibri"/>
        </w:rPr>
        <w:t xml:space="preserve"> </w:t>
      </w:r>
      <w:r>
        <w:rPr>
          <w:rFonts w:ascii="Calibri" w:hAnsi="Calibri" w:eastAsia="Calibri"/>
        </w:rPr>
        <w:t xml:space="preserve">Self-Custody-Bestände sind nicht administrativ sperrbar.</w:t>
      </w:r>
    </w:p>
    <w:p>
      <w:pPr>
        <w:pStyle w:val="Compact"/>
        <w:numPr>
          <w:ilvl w:val="0"/>
          <w:numId w:val="1003"/>
        </w:numPr>
      </w:pPr>
      <w:r>
        <w:rPr>
          <w:rFonts w:ascii="Calibri" w:hAnsi="Calibri" w:eastAsia="Calibri"/>
          <w:b/>
          <w:bCs/>
        </w:rPr>
        <w:t xml:space="preserve">Keine Fiat-Bindung:</w:t>
      </w:r>
      <w:r>
        <w:rPr>
          <w:rFonts w:ascii="Calibri" w:hAnsi="Calibri" w:eastAsia="Calibri"/>
        </w:rPr>
        <w:t xml:space="preserve"> </w:t>
      </w:r>
      <w:r>
        <w:rPr>
          <w:rFonts w:ascii="Calibri" w:hAnsi="Calibri" w:eastAsia="Calibri"/>
        </w:rPr>
        <w:t xml:space="preserve">Wechselkurse entstehen am freien Markt.</w:t>
      </w:r>
    </w:p>
    <w:p>
      <w:pPr>
        <w:pStyle w:val="Compact"/>
        <w:numPr>
          <w:ilvl w:val="0"/>
          <w:numId w:val="1003"/>
        </w:numPr>
      </w:pPr>
      <w:r>
        <w:rPr>
          <w:rFonts w:ascii="Calibri" w:hAnsi="Calibri" w:eastAsia="Calibri"/>
          <w:b/>
          <w:bCs/>
        </w:rPr>
        <w:t xml:space="preserve">Keine Oracle-Abhängigkeit im monetären Kern:</w:t>
      </w:r>
      <w:r>
        <w:rPr>
          <w:rFonts w:ascii="Calibri" w:hAnsi="Calibri" w:eastAsia="Calibri"/>
        </w:rPr>
        <w:t xml:space="preserve"> </w:t>
      </w:r>
      <w:r>
        <w:rPr>
          <w:rFonts w:ascii="Calibri" w:hAnsi="Calibri" w:eastAsia="Calibri"/>
        </w:rPr>
        <w:t xml:space="preserve">Preise beeinflussen weder Existenz noch Menge von ΔΡΑΧ.</w:t>
      </w:r>
    </w:p>
    <w:p>
      <w:pPr>
        <w:pStyle w:val="Compact"/>
        <w:numPr>
          <w:ilvl w:val="0"/>
          <w:numId w:val="1003"/>
        </w:numPr>
      </w:pPr>
      <w:r>
        <w:rPr>
          <w:rFonts w:ascii="Calibri" w:hAnsi="Calibri" w:eastAsia="Calibri"/>
          <w:b/>
          <w:bCs/>
        </w:rPr>
        <w:t xml:space="preserve">Genesis Steward auf Zeit:</w:t>
      </w:r>
      <w:r>
        <w:rPr>
          <w:rFonts w:ascii="Calibri" w:hAnsi="Calibri" w:eastAsia="Calibri"/>
        </w:rPr>
        <w:t xml:space="preserve"> </w:t>
      </w:r>
      <w:r>
        <w:rPr>
          <w:rFonts w:ascii="Calibri" w:hAnsi="Calibri" w:eastAsia="Calibri"/>
        </w:rPr>
        <w:t xml:space="preserve">privilegierte Rechte verfallen technisch und öffentlich nachprüfbar.</w:t>
      </w:r>
    </w:p>
    <w:p>
      <w:pPr>
        <w:pStyle w:val="Compact"/>
        <w:numPr>
          <w:ilvl w:val="0"/>
          <w:numId w:val="1003"/>
        </w:numPr>
      </w:pPr>
      <w:r>
        <w:rPr>
          <w:rFonts w:ascii="Calibri" w:hAnsi="Calibri" w:eastAsia="Calibri"/>
          <w:b/>
          <w:bCs/>
        </w:rPr>
        <w:t xml:space="preserve">Physischer Arm ist institutionell, aber vollständig gedeckt:</w:t>
      </w:r>
      <w:r>
        <w:rPr>
          <w:rFonts w:ascii="Calibri" w:hAnsi="Calibri" w:eastAsia="Calibri"/>
        </w:rPr>
        <w:t xml:space="preserve"> </w:t>
      </w:r>
      <w:r>
        <w:rPr>
          <w:rFonts w:ascii="Calibri" w:hAnsi="Calibri" w:eastAsia="Calibri"/>
        </w:rPr>
        <w:t xml:space="preserve">jeder physische Nominalwert entspricht einem gesperrten digitalen Nominalwert.</w:t>
      </w:r>
    </w:p>
    <w:p>
      <w:pPr>
        <w:pStyle w:val="Compact"/>
        <w:numPr>
          <w:ilvl w:val="0"/>
          <w:numId w:val="1003"/>
        </w:numPr>
      </w:pPr>
      <w:r>
        <w:rPr>
          <w:rFonts w:ascii="Calibri" w:hAnsi="Calibri" w:eastAsia="Calibri"/>
          <w:b/>
          <w:bCs/>
        </w:rPr>
        <w:t xml:space="preserve">Intermediäre erfüllen Rechtspflichten:</w:t>
      </w:r>
      <w:r>
        <w:rPr>
          <w:rFonts w:ascii="Calibri" w:hAnsi="Calibri" w:eastAsia="Calibri"/>
        </w:rPr>
        <w:t xml:space="preserve"> </w:t>
      </w:r>
      <w:r>
        <w:rPr>
          <w:rFonts w:ascii="Calibri" w:hAnsi="Calibri" w:eastAsia="Calibri"/>
        </w:rPr>
        <w:t xml:space="preserve">AML, Verbraucherschutz und Aufsicht gelten an Verwahrungs-, Wechsel- und Ausgabestellen.</w:t>
      </w:r>
    </w:p>
    <w:p>
      <w:pPr>
        <w:pStyle w:val="Compact"/>
        <w:numPr>
          <w:ilvl w:val="0"/>
          <w:numId w:val="1003"/>
        </w:numPr>
      </w:pPr>
      <w:r>
        <w:rPr>
          <w:rFonts w:ascii="Calibri" w:hAnsi="Calibri" w:eastAsia="Calibri"/>
          <w:b/>
          <w:bCs/>
        </w:rPr>
        <w:t xml:space="preserve">Keine Souveränitätsrhetorik ohne Exit-Test:</w:t>
      </w:r>
      <w:r>
        <w:rPr>
          <w:rFonts w:ascii="Calibri" w:hAnsi="Calibri" w:eastAsia="Calibri"/>
        </w:rPr>
        <w:t xml:space="preserve"> </w:t>
      </w:r>
      <w:r>
        <w:rPr>
          <w:rFonts w:ascii="Calibri" w:hAnsi="Calibri" w:eastAsia="Calibri"/>
        </w:rPr>
        <w:t xml:space="preserve">Abhängigkeiten von Kaspa, KAS-Gebühren, Wallets und Secure-Element-Lieferketten werden gemessen und mit Migrationspfaden versehen.</w:t>
      </w:r>
    </w:p>
    <w:p>
      <w:pPr>
        <w:pStyle w:val="FirstParagraph"/>
      </w:pPr>
      <w:r>
        <w:rPr>
          <w:rFonts w:ascii="Calibri" w:hAnsi="Calibri" w:eastAsia="Calibri"/>
        </w:rPr>
        <w:br w:type="page"/>
      </w:r>
    </w:p>
    <w:bookmarkEnd w:id="13"/>
    <w:bookmarkEnd w:id="14"/>
    <w:bookmarkStart w:id="19" w:name="X2cb40187f3f0def677f88c1208b02e75d627c15"/>
    <w:p>
      <w:pPr>
        <w:pStyle w:val="Heading1"/>
      </w:pPr>
      <w:r>
        <w:rPr>
          <w:rFonts w:ascii="Calibri" w:hAnsi="Calibri" w:eastAsia="Calibri"/>
        </w:rPr>
        <w:t xml:space="preserve">1. Auftrag, Annahmen und Entscheidungshorizont</w:t>
      </w:r>
    </w:p>
    <w:bookmarkStart w:id="15" w:name="X41bd7f055fe0b52073a354f6c3c6da9e690f19d"/>
    <w:p>
      <w:pPr>
        <w:pStyle w:val="Heading2"/>
      </w:pPr>
      <w:r>
        <w:rPr>
          <w:rFonts w:ascii="Calibri" w:hAnsi="Calibri" w:eastAsia="Calibri"/>
        </w:rPr>
        <w:t xml:space="preserve">1.1 Auftrag</w:t>
      </w:r>
    </w:p>
    <w:p>
      <w:pPr>
        <w:pStyle w:val="FirstParagraph"/>
      </w:pPr>
      <w:r>
        <w:rPr>
          <w:rFonts w:ascii="Calibri" w:hAnsi="Calibri" w:eastAsia="Calibri"/>
        </w:rPr>
        <w:t xml:space="preserve">Diese Studie untersucht, ob ein Staat eine harte digitale Landeswährung starten kann, deren tägliche Nutzung zugleich in Self-Custody, offline, als Banknote und als Münze möglich ist, ohne dass eine Zentralbank oder Regierung nach dem Genesis-Zeitfenster Konten sperren oder die Geldmenge diskretionär erhöhen kann. Griechenland dient als konkreter Anwendungsfall. Das Dokument unterscheidet strikt zwischen technischer Machbarkeit, heutiger Eurozonen-Rechtslage und einem nur bei vollständiger Währungssouveränität relevanten Legal-Tender-Szenario.</w:t>
      </w:r>
    </w:p>
    <w:bookmarkEnd w:id="15"/>
    <w:bookmarkStart w:id="16" w:name="Xd1274fe3e0e11cbc2039cd18952b857db07d2d0"/>
    <w:p>
      <w:pPr>
        <w:pStyle w:val="Heading2"/>
      </w:pPr>
      <w:r>
        <w:rPr>
          <w:rFonts w:ascii="Calibri" w:hAnsi="Calibri" w:eastAsia="Calibri"/>
        </w:rPr>
        <w:t xml:space="preserve">1.2 Gesetzte Annahmen</w:t>
      </w:r>
    </w:p>
    <w:p>
      <w:pPr>
        <w:pStyle w:val="Compact"/>
        <w:numPr>
          <w:ilvl w:val="0"/>
          <w:numId w:val="1004"/>
        </w:numPr>
      </w:pPr>
      <w:r>
        <w:rPr>
          <w:rFonts w:ascii="Calibri" w:hAnsi="Calibri" w:eastAsia="Calibri"/>
          <w:b/>
          <w:bCs/>
        </w:rPr>
        <w:t xml:space="preserve">A1:</w:t>
      </w:r>
      <w:r>
        <w:rPr>
          <w:rFonts w:ascii="Calibri" w:hAnsi="Calibri" w:eastAsia="Calibri"/>
        </w:rPr>
        <w:t xml:space="preserve"> </w:t>
      </w:r>
      <w:r>
        <w:rPr>
          <w:rFonts w:ascii="Calibri" w:hAnsi="Calibri" w:eastAsia="Calibri"/>
        </w:rPr>
        <w:t xml:space="preserve">Der Staat will Transparenz, Regelbindung und technische Selbstbeschränkung stärker gewichten als kurzfristige geldpolitische Flexibilität.</w:t>
      </w:r>
    </w:p>
    <w:p>
      <w:pPr>
        <w:pStyle w:val="Compact"/>
        <w:numPr>
          <w:ilvl w:val="0"/>
          <w:numId w:val="1004"/>
        </w:numPr>
      </w:pPr>
      <w:r>
        <w:rPr>
          <w:rFonts w:ascii="Calibri" w:hAnsi="Calibri" w:eastAsia="Calibri"/>
          <w:b/>
          <w:bCs/>
        </w:rPr>
        <w:t xml:space="preserve">A2:</w:t>
      </w:r>
      <w:r>
        <w:rPr>
          <w:rFonts w:ascii="Calibri" w:hAnsi="Calibri" w:eastAsia="Calibri"/>
        </w:rPr>
        <w:t xml:space="preserve"> </w:t>
      </w:r>
      <w:r>
        <w:rPr>
          <w:rFonts w:ascii="Calibri" w:hAnsi="Calibri" w:eastAsia="Calibri"/>
        </w:rPr>
        <w:t xml:space="preserve">Bürger dürfen digitale ΔΡΑΧ selbst verwahren. Banken und Wallet-Anbieter bleiben optionale Dienstleister.</w:t>
      </w:r>
    </w:p>
    <w:p>
      <w:pPr>
        <w:pStyle w:val="Compact"/>
        <w:numPr>
          <w:ilvl w:val="0"/>
          <w:numId w:val="1004"/>
        </w:numPr>
      </w:pPr>
      <w:r>
        <w:rPr>
          <w:rFonts w:ascii="Calibri" w:hAnsi="Calibri" w:eastAsia="Calibri"/>
          <w:b/>
          <w:bCs/>
        </w:rPr>
        <w:t xml:space="preserve">A3:</w:t>
      </w:r>
      <w:r>
        <w:rPr>
          <w:rFonts w:ascii="Calibri" w:hAnsi="Calibri" w:eastAsia="Calibri"/>
        </w:rPr>
        <w:t xml:space="preserve"> </w:t>
      </w:r>
      <w:r>
        <w:rPr>
          <w:rFonts w:ascii="Calibri" w:hAnsi="Calibri" w:eastAsia="Calibri"/>
        </w:rPr>
        <w:t xml:space="preserve">Ein physischer Träger erfordert zwangsläufig vertrauenswürdige Ausgabestellen, Druckereien, Münzstätten, Echtheitsprüfung und Vernichtungskontrollen.</w:t>
      </w:r>
    </w:p>
    <w:p>
      <w:pPr>
        <w:pStyle w:val="Compact"/>
        <w:numPr>
          <w:ilvl w:val="0"/>
          <w:numId w:val="1004"/>
        </w:numPr>
      </w:pPr>
      <w:r>
        <w:rPr>
          <w:rFonts w:ascii="Calibri" w:hAnsi="Calibri" w:eastAsia="Calibri"/>
          <w:b/>
          <w:bCs/>
        </w:rPr>
        <w:t xml:space="preserve">A4:</w:t>
      </w:r>
      <w:r>
        <w:rPr>
          <w:rFonts w:ascii="Calibri" w:hAnsi="Calibri" w:eastAsia="Calibri"/>
        </w:rPr>
        <w:t xml:space="preserve"> </w:t>
      </w:r>
      <w:r>
        <w:rPr>
          <w:rFonts w:ascii="Calibri" w:hAnsi="Calibri" w:eastAsia="Calibri"/>
        </w:rPr>
        <w:t xml:space="preserve">Kaspa Toccata ist seit 30. Juni 2026 auf Mainnet aktiv; Compiler-, Wallet-, Indexer- und Audit-Reife sind dennoch junge und zu prüfende Abhängigkeiten.</w:t>
      </w:r>
    </w:p>
    <w:p>
      <w:pPr>
        <w:pStyle w:val="Compact"/>
        <w:numPr>
          <w:ilvl w:val="0"/>
          <w:numId w:val="1004"/>
        </w:numPr>
      </w:pPr>
      <w:r>
        <w:rPr>
          <w:rFonts w:ascii="Calibri" w:hAnsi="Calibri" w:eastAsia="Calibri"/>
          <w:b/>
          <w:bCs/>
        </w:rPr>
        <w:t xml:space="preserve">A5:</w:t>
      </w:r>
      <w:r>
        <w:rPr>
          <w:rFonts w:ascii="Calibri" w:hAnsi="Calibri" w:eastAsia="Calibri"/>
        </w:rPr>
        <w:t xml:space="preserve"> </w:t>
      </w:r>
      <w:r>
        <w:rPr>
          <w:rFonts w:ascii="Calibri" w:hAnsi="Calibri" w:eastAsia="Calibri"/>
        </w:rPr>
        <w:t xml:space="preserve">Die Eurozone bleibt in Phase 0 und jedem freiwilligen Forschungs-/Komplementärpilot der geltende Rechtsrahmen.</w:t>
      </w:r>
    </w:p>
    <w:p>
      <w:pPr>
        <w:pStyle w:val="Compact"/>
        <w:numPr>
          <w:ilvl w:val="0"/>
          <w:numId w:val="1004"/>
        </w:numPr>
      </w:pPr>
      <w:r>
        <w:rPr>
          <w:rFonts w:ascii="Calibri" w:hAnsi="Calibri" w:eastAsia="Calibri"/>
          <w:b/>
          <w:bCs/>
        </w:rPr>
        <w:t xml:space="preserve">A6:</w:t>
      </w:r>
      <w:r>
        <w:rPr>
          <w:rFonts w:ascii="Calibri" w:hAnsi="Calibri" w:eastAsia="Calibri"/>
        </w:rPr>
        <w:t xml:space="preserve"> </w:t>
      </w:r>
      <w:r>
        <w:rPr>
          <w:rFonts w:ascii="Calibri" w:hAnsi="Calibri" w:eastAsia="Calibri"/>
        </w:rPr>
        <w:t xml:space="preserve">Volle gesetzliche Annahmepflicht, nationale Banknoten mit Legal-Tender-Status und Steuerdenomination in ΔΡΑΧ werden nur im souveränen Szenario untersucht.</w:t>
      </w:r>
    </w:p>
    <w:p>
      <w:pPr>
        <w:pStyle w:val="Compact"/>
        <w:numPr>
          <w:ilvl w:val="0"/>
          <w:numId w:val="1004"/>
        </w:numPr>
      </w:pPr>
      <w:r>
        <w:rPr>
          <w:rFonts w:ascii="Calibri" w:hAnsi="Calibri" w:eastAsia="Calibri"/>
          <w:b/>
          <w:bCs/>
        </w:rPr>
        <w:t xml:space="preserve">A7:</w:t>
      </w:r>
      <w:r>
        <w:rPr>
          <w:rFonts w:ascii="Calibri" w:hAnsi="Calibri" w:eastAsia="Calibri"/>
        </w:rPr>
        <w:t xml:space="preserve"> </w:t>
      </w:r>
      <w:r>
        <w:rPr>
          <w:rFonts w:ascii="Calibri" w:hAnsi="Calibri" w:eastAsia="Calibri"/>
        </w:rPr>
        <w:t xml:space="preserve">Zahlen in diesem Entwurf sind Planungsparameter. Sie werden erst nach Simulation, Rechtsgutachten und öffentlicher Konsultation normativ.</w:t>
      </w:r>
    </w:p>
    <w:bookmarkEnd w:id="16"/>
    <w:bookmarkStart w:id="17" w:name="X6272826c42e55d48b33d8818fcb012fbe802eba"/>
    <w:p>
      <w:pPr>
        <w:pStyle w:val="Heading2"/>
      </w:pPr>
      <w:r>
        <w:rPr>
          <w:rFonts w:ascii="Calibri" w:hAnsi="Calibri" w:eastAsia="Calibri"/>
        </w:rPr>
        <w:t xml:space="preserve">1.3 Zentrale Zielkonflikte</w:t>
      </w:r>
    </w:p>
    <w:p>
      <w:pPr>
        <w:pStyle w:val="FirstParagraph"/>
      </w:pPr>
      <w:r>
        <w:rPr>
          <w:rFonts w:ascii="Calibri" w:hAnsi="Calibri" w:eastAsia="Calibri"/>
          <w:b/>
          <w:bCs/>
        </w:rPr>
        <w:t xml:space="preserve">Härte gegen Krisenelastizität.</w:t>
      </w:r>
      <w:r>
        <w:rPr>
          <w:rFonts w:ascii="Calibri" w:hAnsi="Calibri" w:eastAsia="Calibri"/>
        </w:rPr>
        <w:t xml:space="preserve"> </w:t>
      </w:r>
      <w:r>
        <w:rPr>
          <w:rFonts w:ascii="Calibri" w:hAnsi="Calibri" w:eastAsia="Calibri"/>
        </w:rPr>
        <w:t xml:space="preserve">Eine unveränderliche Maximalmenge schützt gegen politische Verwässerung, nimmt dem Staat aber das klassische Instrument des Lender of Last Resort. Das System muss deshalb mit 100%-Reserve-Zahlungskonten, vorfinanzierten Liquiditätspuffern, geordneten Insolvenzen und expliziten Stop-Kriterien arbeiten.</w:t>
      </w:r>
    </w:p>
    <w:p>
      <w:pPr>
        <w:pStyle w:val="BodyText"/>
      </w:pPr>
      <w:r>
        <w:rPr>
          <w:rFonts w:ascii="Calibri" w:hAnsi="Calibri" w:eastAsia="Calibri"/>
          <w:b/>
          <w:bCs/>
        </w:rPr>
        <w:t xml:space="preserve">Dezentralität gegen physisches Bargeld.</w:t>
      </w:r>
      <w:r>
        <w:rPr>
          <w:rFonts w:ascii="Calibri" w:hAnsi="Calibri" w:eastAsia="Calibri"/>
        </w:rPr>
        <w:t xml:space="preserve"> </w:t>
      </w:r>
      <w:r>
        <w:rPr>
          <w:rFonts w:ascii="Calibri" w:hAnsi="Calibri" w:eastAsia="Calibri"/>
        </w:rPr>
        <w:t xml:space="preserve">Digitaler Bearer Value kann weitgehend regelbasiert sein. Papier und Metall benötigen physische Institutionen. Die Lösung ist nicht, diese Vertrauenszone zu leugnen, sondern sie eng zu begrenzen, zu besichern, lückenlos zu auditieren und vom Recht zur Geldschöpfung zu trennen.</w:t>
      </w:r>
    </w:p>
    <w:p>
      <w:pPr>
        <w:pStyle w:val="BodyText"/>
      </w:pPr>
      <w:r>
        <w:rPr>
          <w:rFonts w:ascii="Calibri" w:hAnsi="Calibri" w:eastAsia="Calibri"/>
          <w:b/>
          <w:bCs/>
        </w:rPr>
        <w:t xml:space="preserve">Souveränität gegen offene Weltwirtschaft.</w:t>
      </w:r>
      <w:r>
        <w:rPr>
          <w:rFonts w:ascii="Calibri" w:hAnsi="Calibri" w:eastAsia="Calibri"/>
        </w:rPr>
        <w:t xml:space="preserve"> </w:t>
      </w:r>
      <w:r>
        <w:rPr>
          <w:rFonts w:ascii="Calibri" w:hAnsi="Calibri" w:eastAsia="Calibri"/>
        </w:rPr>
        <w:t xml:space="preserve">Ein offenes globales Netzwerk reduziert nationale Zensur- und Betreiberabhängigkeit, schafft aber Abhängigkeit von fremden Minern, KAS-Gebühren, Netzwerk-Upgrades und globaler Liquidität. Souveränität wird deshalb als Fähigkeit zu überprüfen, zu migrieren und rechtlich selbst zu entscheiden definiert - nicht als technische Autarkiebehauptung.</w:t>
      </w:r>
    </w:p>
    <w:bookmarkEnd w:id="17"/>
    <w:bookmarkStart w:id="18" w:name="X164111e3808e8c96a14445e3fbdaeecbb70a2cc"/>
    <w:p>
      <w:pPr>
        <w:pStyle w:val="Heading2"/>
      </w:pPr>
      <w:r>
        <w:rPr>
          <w:rFonts w:ascii="Calibri" w:hAnsi="Calibri" w:eastAsia="Calibri"/>
        </w:rPr>
        <w:t xml:space="preserve">1.4 Entscheidungshorizonte</w:t>
      </w:r>
    </w:p>
    <w:tbl>
      <w:tblPr>
        <w:tblStyle w:val="Table"/>
        <w:tblW w:type="auto" w:w="0"/>
        <w:jc w:val="center"/>
        <w:tblLayout w:type="autofit"/>
        <w:tblLook w:firstRow="1" w:lastRow="0" w:firstColumn="0" w:lastColumn="0" w:noHBand="0" w:noVBand="0" w:val="0020"/>
      </w:tblPr>
      <w:tblGrid>
        <w:gridCol w:w="2640"/>
        <w:gridCol w:w="2640"/>
        <w:gridCol w:w="2640"/>
      </w:tblGrid>
      <w:tr>
        <w:trPr>
          <w:tblHeader w:val="on"/>
        </w:trPr>
        <w:tc>
          <w:tcPr>
            <w:vAlign w:val="center"/>
            <w:tcMar>
              <w:top w:w="90" w:type="dxa"/>
              <w:start w:w="110" w:type="dxa"/>
              <w:bottom w:w="90" w:type="dxa"/>
              <w:end w:w="110" w:type="dxa"/>
            </w:tcMar>
            <w:shd w:fill="071426"/>
          </w:tcPr>
          <w:p>
            <w:pPr>
              <w:pStyle w:val="Compact"/>
              <w:spacing w:after="40"/>
              <w:jc w:val="left"/>
            </w:pPr>
            <w:r>
              <w:rPr>
                <w:rFonts w:ascii="Calibri" w:hAnsi="Calibri" w:eastAsia="Calibri"/>
                <w:b/>
                <w:color w:val="FFFFFF"/>
                <w:sz w:val="18"/>
              </w:rPr>
              <w:t xml:space="preserve">Horizont</w:t>
            </w:r>
          </w:p>
        </w:tc>
        <w:tc>
          <w:tcPr>
            <w:vAlign w:val="center"/>
            <w:tcMar>
              <w:top w:w="90" w:type="dxa"/>
              <w:start w:w="110" w:type="dxa"/>
              <w:bottom w:w="90" w:type="dxa"/>
              <w:end w:w="110" w:type="dxa"/>
            </w:tcMar>
            <w:shd w:fill="071426"/>
          </w:tcPr>
          <w:p>
            <w:pPr>
              <w:pStyle w:val="Compact"/>
              <w:spacing w:after="40"/>
              <w:jc w:val="left"/>
            </w:pPr>
            <w:r>
              <w:rPr>
                <w:rFonts w:ascii="Calibri" w:hAnsi="Calibri" w:eastAsia="Calibri"/>
                <w:b/>
                <w:color w:val="FFFFFF"/>
                <w:sz w:val="18"/>
              </w:rPr>
              <w:t xml:space="preserve">Erlaubte Aussage</w:t>
            </w:r>
          </w:p>
        </w:tc>
        <w:tc>
          <w:tcPr>
            <w:vAlign w:val="center"/>
            <w:tcMar>
              <w:top w:w="90" w:type="dxa"/>
              <w:start w:w="110" w:type="dxa"/>
              <w:bottom w:w="90" w:type="dxa"/>
              <w:end w:w="110" w:type="dxa"/>
            </w:tcMar>
            <w:shd w:fill="071426"/>
          </w:tcPr>
          <w:p>
            <w:pPr>
              <w:pStyle w:val="Compact"/>
              <w:spacing w:after="40"/>
              <w:jc w:val="left"/>
            </w:pPr>
            <w:r>
              <w:rPr>
                <w:rFonts w:ascii="Calibri" w:hAnsi="Calibri" w:eastAsia="Calibri"/>
                <w:b/>
                <w:color w:val="FFFFFF"/>
                <w:sz w:val="18"/>
              </w:rPr>
              <w:t xml:space="preserve">Ausdrücklich nicht enthalten</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Phase 0, 0-18 Monate</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Forschung, Simulation, Testnet, Rechtsprüfung</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Geldwert, Mainnet, Annahmepflicht, Steuerannahme</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Optionaler Eurozonen-Pilot</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freiwillige, begrenzte Komplementärnutzung nach Freigabe</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nationales Legal Tender, Zwangslohn, Ersatz des Euro</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Souveränes Szenario</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vollständige Währungs-, Banken- und Bargeldordnung</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Empfehlung oder Automatismus zum Grexit</w:t>
            </w:r>
          </w:p>
        </w:tc>
      </w:tr>
    </w:tbl>
    <w:p>
      <w:pPr>
        <w:pStyle w:val="BodyText"/>
      </w:pPr>
      <w:r>
        <w:rPr>
          <w:rFonts w:ascii="Calibri" w:hAnsi="Calibri" w:eastAsia="Calibri"/>
        </w:rPr>
        <w:br w:type="page"/>
      </w:r>
    </w:p>
    <w:bookmarkEnd w:id="18"/>
    <w:bookmarkEnd w:id="19"/>
    <w:bookmarkStart w:id="26" w:name="X1944130b867ce3959546aeafb4f8deda6b38998"/>
    <w:p>
      <w:pPr>
        <w:pStyle w:val="Heading1"/>
      </w:pPr>
      <w:r>
        <w:rPr>
          <w:rFonts w:ascii="Calibri" w:hAnsi="Calibri" w:eastAsia="Calibri"/>
        </w:rPr>
        <w:t xml:space="preserve">2. Monetäre Verfassung</w:t>
      </w:r>
    </w:p>
    <w:bookmarkStart w:id="20" w:name="X457cce8d38a588ec0f1478c5f63f81f50f8e28b"/>
    <w:p>
      <w:pPr>
        <w:pStyle w:val="Heading2"/>
      </w:pPr>
      <w:r>
        <w:rPr>
          <w:rFonts w:ascii="Calibri" w:hAnsi="Calibri" w:eastAsia="Calibri"/>
        </w:rPr>
        <w:t xml:space="preserve">2.1 Die Einheit</w:t>
      </w:r>
    </w:p>
    <w:p>
      <w:pPr>
        <w:pStyle w:val="FirstParagraph"/>
      </w:pPr>
      <w:r>
        <w:rPr>
          <w:rFonts w:ascii="Calibri" w:hAnsi="Calibri" w:eastAsia="Calibri"/>
        </w:rPr>
        <w:t xml:space="preserve">Eine ΔΡΑΧ ist eine nominell identische Einheit unabhängig davon, ob sie als on-chain UTXO, Offline-Claim, Banknote oder Münze gehalten wird. Die Einheit ist</w:t>
      </w:r>
      <w:r>
        <w:rPr>
          <w:rFonts w:ascii="Calibri" w:hAnsi="Calibri" w:eastAsia="Calibri"/>
        </w:rPr>
        <w:t xml:space="preserve"> </w:t>
      </w:r>
      <w:r>
        <w:rPr>
          <w:rFonts w:ascii="Calibri" w:hAnsi="Calibri" w:eastAsia="Calibri"/>
          <w:b/>
          <w:bCs/>
        </w:rPr>
        <w:t xml:space="preserve">nicht</w:t>
      </w:r>
      <w:r>
        <w:rPr>
          <w:rFonts w:ascii="Calibri" w:hAnsi="Calibri" w:eastAsia="Calibri"/>
        </w:rPr>
        <w:t xml:space="preserve"> </w:t>
      </w:r>
      <w:r>
        <w:rPr>
          <w:rFonts w:ascii="Calibri" w:hAnsi="Calibri" w:eastAsia="Calibri"/>
        </w:rPr>
        <w:t xml:space="preserve">definiert als Anspruch auf einen Euro, Dollar, Bitcoin oder Goldbetrag. Ihr Wechselkurs wird frei gebildet. Ihre monetäre Härte folgt aus Menge, Konvertibilität zwischen Trägerformen, transparenter Fiskalannahme im souveränen Szenario und glaubwürdiger Rechtsordnung - nicht aus einem Peg.</w:t>
      </w:r>
    </w:p>
    <w:bookmarkEnd w:id="20"/>
    <w:bookmarkStart w:id="21" w:name="Xb37af79a0807a9b76a55b50337be7a82a920e30"/>
    <w:p>
      <w:pPr>
        <w:pStyle w:val="Heading2"/>
      </w:pPr>
      <w:r>
        <w:rPr>
          <w:rFonts w:ascii="Calibri" w:hAnsi="Calibri" w:eastAsia="Calibri"/>
        </w:rPr>
        <w:t xml:space="preserve">2.2 Geldmengenidentität</w:t>
      </w:r>
    </w:p>
    <w:p>
      <w:pPr>
        <w:pStyle w:val="FirstParagraph"/>
      </w:pPr>
      <w:r>
        <w:rPr>
          <w:rFonts w:ascii="Calibri" w:hAnsi="Calibri" w:eastAsia="Calibri"/>
        </w:rPr>
        <w:t xml:space="preserve">Zu jedem finalisierten Block gilt:</w:t>
      </w:r>
    </w:p>
    <w:p>
      <w:pPr>
        <w:pStyle w:val="BodyText"/>
      </w:pPr>
      <w:r>
        <w:rPr>
          <w:rStyle w:val="VerbatimChar"/>
          <w:rFonts w:ascii="Calibri" w:hAnsi="Calibri" w:eastAsia="Calibri"/>
        </w:rPr>
        <w:t xml:space="preserve">S(t) = D(t) + P(t) + O(t) + E(t)</w:t>
      </w:r>
    </w:p>
    <w:p>
      <w:pPr>
        <w:pStyle w:val="BodyText"/>
      </w:pPr>
      <w:r>
        <w:rPr>
          <w:rFonts w:ascii="Calibri" w:hAnsi="Calibri" w:eastAsia="Calibri"/>
        </w:rPr>
        <w:t xml:space="preserve">mit:</w:t>
      </w:r>
    </w:p>
    <w:p>
      <w:pPr>
        <w:pStyle w:val="Compact"/>
        <w:numPr>
          <w:ilvl w:val="0"/>
          <w:numId w:val="1005"/>
        </w:numPr>
      </w:pPr>
      <w:r>
        <w:rPr>
          <w:rStyle w:val="VerbatimChar"/>
          <w:rFonts w:ascii="Calibri" w:hAnsi="Calibri" w:eastAsia="Calibri"/>
        </w:rPr>
        <w:t xml:space="preserve">D</w:t>
      </w:r>
      <w:r>
        <w:rPr>
          <w:rFonts w:ascii="Calibri" w:hAnsi="Calibri" w:eastAsia="Calibri"/>
        </w:rPr>
        <w:t xml:space="preserve">: frei digital umlaufende ΔΡΑΧ;</w:t>
      </w:r>
    </w:p>
    <w:p>
      <w:pPr>
        <w:pStyle w:val="Compact"/>
        <w:numPr>
          <w:ilvl w:val="0"/>
          <w:numId w:val="1005"/>
        </w:numPr>
      </w:pPr>
      <w:r>
        <w:rPr>
          <w:rStyle w:val="VerbatimChar"/>
          <w:rFonts w:ascii="Calibri" w:hAnsi="Calibri" w:eastAsia="Calibri"/>
        </w:rPr>
        <w:t xml:space="preserve">P</w:t>
      </w:r>
      <w:r>
        <w:rPr>
          <w:rFonts w:ascii="Calibri" w:hAnsi="Calibri" w:eastAsia="Calibri"/>
        </w:rPr>
        <w:t xml:space="preserve">: in CashLots gesperrte digitale ΔΡΑΧ, die ausgegebenen Banknoten und Münzen entsprechen;</w:t>
      </w:r>
    </w:p>
    <w:p>
      <w:pPr>
        <w:pStyle w:val="Compact"/>
        <w:numPr>
          <w:ilvl w:val="0"/>
          <w:numId w:val="1005"/>
        </w:numPr>
      </w:pPr>
      <w:r>
        <w:rPr>
          <w:rStyle w:val="VerbatimChar"/>
          <w:rFonts w:ascii="Calibri" w:hAnsi="Calibri" w:eastAsia="Calibri"/>
        </w:rPr>
        <w:t xml:space="preserve">O</w:t>
      </w:r>
      <w:r>
        <w:rPr>
          <w:rFonts w:ascii="Calibri" w:hAnsi="Calibri" w:eastAsia="Calibri"/>
        </w:rPr>
        <w:t xml:space="preserve">: in OfflineLock-Covenants gesperrte ΔΡΑΧ;</w:t>
      </w:r>
    </w:p>
    <w:p>
      <w:pPr>
        <w:pStyle w:val="Compact"/>
        <w:numPr>
          <w:ilvl w:val="0"/>
          <w:numId w:val="1005"/>
        </w:numPr>
      </w:pPr>
      <w:r>
        <w:rPr>
          <w:rStyle w:val="VerbatimChar"/>
          <w:rFonts w:ascii="Calibri" w:hAnsi="Calibri" w:eastAsia="Calibri"/>
        </w:rPr>
        <w:t xml:space="preserve">E</w:t>
      </w:r>
      <w:r>
        <w:rPr>
          <w:rFonts w:ascii="Calibri" w:hAnsi="Calibri" w:eastAsia="Calibri"/>
        </w:rPr>
        <w:t xml:space="preserve">: eng definierte Sonderzustände, etwa rechtshängige Vernichtungs- oder Wiederherstellungsverfahren;</w:t>
      </w:r>
    </w:p>
    <w:p>
      <w:pPr>
        <w:pStyle w:val="Compact"/>
        <w:numPr>
          <w:ilvl w:val="0"/>
          <w:numId w:val="1005"/>
        </w:numPr>
      </w:pPr>
      <w:r>
        <w:rPr>
          <w:rStyle w:val="VerbatimChar"/>
          <w:rFonts w:ascii="Calibri" w:hAnsi="Calibri" w:eastAsia="Calibri"/>
        </w:rPr>
        <w:t xml:space="preserve">S</w:t>
      </w:r>
      <w:r>
        <w:rPr>
          <w:rFonts w:ascii="Calibri" w:hAnsi="Calibri" w:eastAsia="Calibri"/>
        </w:rPr>
        <w:t xml:space="preserve">: gesamte existente Geldmenge.</w:t>
      </w:r>
    </w:p>
    <w:p>
      <w:pPr>
        <w:pStyle w:val="FirstParagraph"/>
      </w:pPr>
      <w:r>
        <w:rPr>
          <w:rFonts w:ascii="Calibri" w:hAnsi="Calibri" w:eastAsia="Calibri"/>
        </w:rPr>
        <w:t xml:space="preserve">Für jede Transaktion muss gelten:</w:t>
      </w:r>
      <w:r>
        <w:rPr>
          <w:rFonts w:ascii="Calibri" w:hAnsi="Calibri" w:eastAsia="Calibri"/>
        </w:rPr>
        <w:t xml:space="preserve"> </w:t>
      </w:r>
      <w:r>
        <w:rPr>
          <w:rStyle w:val="VerbatimChar"/>
          <w:rFonts w:ascii="Calibri" w:hAnsi="Calibri" w:eastAsia="Calibri"/>
        </w:rPr>
        <w:t xml:space="preserve">Inputs + zulässige Emission = Outputs + nachweislicher Burn</w:t>
      </w:r>
      <w:r>
        <w:rPr>
          <w:rFonts w:ascii="Calibri" w:hAnsi="Calibri" w:eastAsia="Calibri"/>
        </w:rPr>
        <w:t xml:space="preserve">. Formwechsel verändern S nicht. Ein öffentlicher Supply-Indexer rekonstruiert D, P, O und E unabhängig von Ministerium, Bank oder Wallet-Frontend.</w:t>
      </w:r>
    </w:p>
    <w:bookmarkEnd w:id="21"/>
    <w:bookmarkStart w:id="22" w:name="Xcd0147d6cef309babafcf315cea2de244beed2f"/>
    <w:p>
      <w:pPr>
        <w:pStyle w:val="Heading2"/>
      </w:pPr>
      <w:r>
        <w:rPr>
          <w:rFonts w:ascii="Calibri" w:hAnsi="Calibri" w:eastAsia="Calibri"/>
        </w:rPr>
        <w:t xml:space="preserve">2.3 Genesis und Maximalmenge</w:t>
      </w:r>
    </w:p>
    <w:p>
      <w:pPr>
        <w:pStyle w:val="FirstParagraph"/>
      </w:pPr>
      <w:r>
        <w:rPr>
          <w:rFonts w:ascii="Calibri" w:hAnsi="Calibri" w:eastAsia="Calibri"/>
          <w:b/>
          <w:bCs/>
        </w:rPr>
        <w:t xml:space="preserve">Arbeitsparameter für die Simulation:</w:t>
      </w:r>
    </w:p>
    <w:p>
      <w:pPr>
        <w:pStyle w:val="Compact"/>
        <w:numPr>
          <w:ilvl w:val="0"/>
          <w:numId w:val="1006"/>
        </w:numPr>
      </w:pPr>
      <w:r>
        <w:rPr>
          <w:rStyle w:val="VerbatimChar"/>
          <w:rFonts w:ascii="Calibri" w:hAnsi="Calibri" w:eastAsia="Calibri"/>
        </w:rPr>
        <w:t xml:space="preserve">M0 = 90.000.000.000 ΔΡΑΧ</w:t>
      </w:r>
      <w:r>
        <w:rPr>
          <w:rFonts w:ascii="Calibri" w:hAnsi="Calibri" w:eastAsia="Calibri"/>
        </w:rPr>
        <w:t xml:space="preserve"> </w:t>
      </w:r>
      <w:r>
        <w:rPr>
          <w:rFonts w:ascii="Calibri" w:hAnsi="Calibri" w:eastAsia="Calibri"/>
        </w:rPr>
        <w:t xml:space="preserve">Genesis-Nominalmenge;</w:t>
      </w:r>
    </w:p>
    <w:p>
      <w:pPr>
        <w:pStyle w:val="Compact"/>
        <w:numPr>
          <w:ilvl w:val="0"/>
          <w:numId w:val="1006"/>
        </w:numPr>
      </w:pPr>
      <w:r>
        <w:rPr>
          <w:rStyle w:val="VerbatimChar"/>
          <w:rFonts w:ascii="Calibri" w:hAnsi="Calibri" w:eastAsia="Calibri"/>
        </w:rPr>
        <w:t xml:space="preserve">Rmax = 9.000.000.000 ΔΡΑΧ</w:t>
      </w:r>
      <w:r>
        <w:rPr>
          <w:rFonts w:ascii="Calibri" w:hAnsi="Calibri" w:eastAsia="Calibri"/>
        </w:rPr>
        <w:t xml:space="preserve"> </w:t>
      </w:r>
      <w:r>
        <w:rPr>
          <w:rFonts w:ascii="Calibri" w:hAnsi="Calibri" w:eastAsia="Calibri"/>
        </w:rPr>
        <w:t xml:space="preserve">maximaler, ausschließlich für Netzwerksicherheit und öffentliche Infrastruktur kodierter Emissionskorridor;</w:t>
      </w:r>
    </w:p>
    <w:p>
      <w:pPr>
        <w:pStyle w:val="Compact"/>
        <w:numPr>
          <w:ilvl w:val="0"/>
          <w:numId w:val="1006"/>
        </w:numPr>
      </w:pPr>
      <w:r>
        <w:rPr>
          <w:rStyle w:val="VerbatimChar"/>
          <w:rFonts w:ascii="Calibri" w:hAnsi="Calibri" w:eastAsia="Calibri"/>
        </w:rPr>
        <w:t xml:space="preserve">Mmax = 99.000.000.000 ΔΡΑΧ</w:t>
      </w:r>
      <w:r>
        <w:rPr>
          <w:rFonts w:ascii="Calibri" w:hAnsi="Calibri" w:eastAsia="Calibri"/>
        </w:rPr>
        <w:t xml:space="preserve"> </w:t>
      </w:r>
      <w:r>
        <w:rPr>
          <w:rFonts w:ascii="Calibri" w:hAnsi="Calibri" w:eastAsia="Calibri"/>
        </w:rPr>
        <w:t xml:space="preserve">absolute Obergrenze;</w:t>
      </w:r>
    </w:p>
    <w:p>
      <w:pPr>
        <w:pStyle w:val="Compact"/>
        <w:numPr>
          <w:ilvl w:val="0"/>
          <w:numId w:val="1006"/>
        </w:numPr>
      </w:pPr>
      <w:r>
        <w:rPr>
          <w:rFonts w:ascii="Calibri" w:hAnsi="Calibri" w:eastAsia="Calibri"/>
        </w:rPr>
        <w:t xml:space="preserve">R wird blockzeitgebunden in Vierjahres-Epochen halbiert und kann nicht beschleunigt oder umgewidmet werden;</w:t>
      </w:r>
    </w:p>
    <w:p>
      <w:pPr>
        <w:pStyle w:val="Compact"/>
        <w:numPr>
          <w:ilvl w:val="0"/>
          <w:numId w:val="1006"/>
        </w:numPr>
      </w:pPr>
      <w:r>
        <w:rPr>
          <w:rFonts w:ascii="Calibri" w:hAnsi="Calibri" w:eastAsia="Calibri"/>
        </w:rPr>
        <w:t xml:space="preserve">nicht abgerufene Epochenansprüche verfallen, statt in spätere Epochen übertragen zu werden;</w:t>
      </w:r>
    </w:p>
    <w:p>
      <w:pPr>
        <w:pStyle w:val="Compact"/>
        <w:numPr>
          <w:ilvl w:val="0"/>
          <w:numId w:val="1006"/>
        </w:numPr>
      </w:pPr>
      <w:r>
        <w:rPr>
          <w:rFonts w:ascii="Calibri" w:hAnsi="Calibri" w:eastAsia="Calibri"/>
        </w:rPr>
        <w:t xml:space="preserve">nach Ausschöpfung oder Ablauf ist jede weitere Emission konsensuswidrig.</w:t>
      </w:r>
    </w:p>
    <w:p>
      <w:pPr>
        <w:pStyle w:val="FirstParagraph"/>
      </w:pPr>
      <w:r>
        <w:rPr>
          <w:rFonts w:ascii="Calibri" w:hAnsi="Calibri" w:eastAsia="Calibri"/>
        </w:rPr>
        <w:t xml:space="preserve">Diese Zahlen sind</w:t>
      </w:r>
      <w:r>
        <w:rPr>
          <w:rFonts w:ascii="Calibri" w:hAnsi="Calibri" w:eastAsia="Calibri"/>
        </w:rPr>
        <w:t xml:space="preserve"> </w:t>
      </w:r>
      <w:r>
        <w:rPr>
          <w:rFonts w:ascii="Calibri" w:hAnsi="Calibri" w:eastAsia="Calibri"/>
          <w:b/>
          <w:bCs/>
        </w:rPr>
        <w:t xml:space="preserve">keine politische Empfehlung</w:t>
      </w:r>
      <w:r>
        <w:rPr>
          <w:rFonts w:ascii="Calibri" w:hAnsi="Calibri" w:eastAsia="Calibri"/>
        </w:rPr>
        <w:t xml:space="preserve">, sondern ein vollständiger Satz simulierbarer Parameter. Eine Alternative mit</w:t>
      </w:r>
      <w:r>
        <w:rPr>
          <w:rFonts w:ascii="Calibri" w:hAnsi="Calibri" w:eastAsia="Calibri"/>
        </w:rPr>
        <w:t xml:space="preserve"> </w:t>
      </w:r>
      <w:r>
        <w:rPr>
          <w:rStyle w:val="VerbatimChar"/>
          <w:rFonts w:ascii="Calibri" w:hAnsi="Calibri" w:eastAsia="Calibri"/>
        </w:rPr>
        <w:t xml:space="preserve">Rmax = 0</w:t>
      </w:r>
      <w:r>
        <w:rPr>
          <w:rFonts w:ascii="Calibri" w:hAnsi="Calibri" w:eastAsia="Calibri"/>
        </w:rPr>
        <w:t xml:space="preserve"> </w:t>
      </w:r>
      <w:r>
        <w:rPr>
          <w:rFonts w:ascii="Calibri" w:hAnsi="Calibri" w:eastAsia="Calibri"/>
        </w:rPr>
        <w:t xml:space="preserve">muss gleichberechtigt getestet werden. Die Security-Tranche ist ein ex ante politischer Verteilungsentscheid und darf nicht als „rein technisch“ verschleiert werden.</w:t>
      </w:r>
    </w:p>
    <w:bookmarkEnd w:id="22"/>
    <w:bookmarkStart w:id="23" w:name="X79ea0e40606c44f22f8b2763ec60f9f2e09702a"/>
    <w:p>
      <w:pPr>
        <w:pStyle w:val="Heading2"/>
      </w:pPr>
      <w:r>
        <w:rPr>
          <w:rFonts w:ascii="Calibri" w:hAnsi="Calibri" w:eastAsia="Calibri"/>
        </w:rPr>
        <w:t xml:space="preserve">2.4 Genesis-Verteilung</w:t>
      </w:r>
    </w:p>
    <w:tbl>
      <w:tblPr>
        <w:tblStyle w:val="Table"/>
        <w:tblW w:type="auto" w:w="0"/>
        <w:jc w:val="center"/>
        <w:tblLayout w:type="autofit"/>
        <w:tblLook w:firstRow="1" w:lastRow="0" w:firstColumn="0" w:lastColumn="0" w:noHBand="0" w:noVBand="0" w:val="0020"/>
      </w:tblPr>
      <w:tblGrid>
        <w:gridCol w:w="2640"/>
        <w:gridCol w:w="2640"/>
        <w:gridCol w:w="2640"/>
      </w:tblGrid>
      <w:tr>
        <w:trPr>
          <w:tblHeader w:val="on"/>
        </w:trPr>
        <w:tc>
          <w:tcPr>
            <w:vAlign w:val="center"/>
            <w:tcMar>
              <w:top w:w="90" w:type="dxa"/>
              <w:start w:w="110" w:type="dxa"/>
              <w:bottom w:w="90" w:type="dxa"/>
              <w:end w:w="110" w:type="dxa"/>
            </w:tcMar>
            <w:shd w:fill="071426"/>
          </w:tcPr>
          <w:p>
            <w:pPr>
              <w:pStyle w:val="Compact"/>
              <w:spacing w:after="40"/>
              <w:jc w:val="left"/>
            </w:pPr>
            <w:r>
              <w:rPr>
                <w:rFonts w:ascii="Calibri" w:hAnsi="Calibri" w:eastAsia="Calibri"/>
                <w:b/>
                <w:color w:val="FFFFFF"/>
                <w:sz w:val="18"/>
              </w:rPr>
              <w:t xml:space="preserve">Zweck</w:t>
            </w:r>
          </w:p>
        </w:tc>
        <w:tc>
          <w:tcPr>
            <w:vAlign w:val="center"/>
            <w:tcMar>
              <w:top w:w="90" w:type="dxa"/>
              <w:start w:w="110" w:type="dxa"/>
              <w:bottom w:w="90" w:type="dxa"/>
              <w:end w:w="110" w:type="dxa"/>
            </w:tcMar>
            <w:shd w:fill="071426"/>
          </w:tcPr>
          <w:p>
            <w:pPr>
              <w:pStyle w:val="Compact"/>
              <w:spacing w:after="40"/>
              <w:jc w:val="left"/>
            </w:pPr>
            <w:r>
              <w:rPr>
                <w:rFonts w:ascii="Calibri" w:hAnsi="Calibri" w:eastAsia="Calibri"/>
                <w:b/>
                <w:color w:val="FFFFFF"/>
                <w:sz w:val="18"/>
              </w:rPr>
              <w:t xml:space="preserve">Anteil an M0</w:t>
            </w:r>
          </w:p>
        </w:tc>
        <w:tc>
          <w:tcPr>
            <w:vAlign w:val="center"/>
            <w:tcMar>
              <w:top w:w="90" w:type="dxa"/>
              <w:start w:w="110" w:type="dxa"/>
              <w:bottom w:w="90" w:type="dxa"/>
              <w:end w:w="110" w:type="dxa"/>
            </w:tcMar>
            <w:shd w:fill="071426"/>
          </w:tcPr>
          <w:p>
            <w:pPr>
              <w:pStyle w:val="Compact"/>
              <w:spacing w:after="40"/>
              <w:jc w:val="left"/>
            </w:pPr>
            <w:r>
              <w:rPr>
                <w:rFonts w:ascii="Calibri" w:hAnsi="Calibri" w:eastAsia="Calibri"/>
                <w:b/>
                <w:color w:val="FFFFFF"/>
                <w:sz w:val="18"/>
              </w:rPr>
              <w:t xml:space="preserve">Sperrlogik</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Bürgerische Grundzuteilung</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34 %</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claim-basiert, zeitlich gestaffelt, nicht übertragbare Anspruchsprüfung</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Umtausch-/Liquiditätsreserve für souveränen Start</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22 %</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öffentliches Treasury ohne Mint-Recht, mehrjährige Ausgaberegeln</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Banknoten- und Münz-CashLots</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12 %</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nur gegen physische Ausgabe, ungenutzte Lots bleiben gesperrt</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Öffentliche Löhne/Leistungen - freiwillige Quote</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10 %</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nur nach Legal-Tender-Gesetz und Wahlrecht des Empfängers</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Infrastruktur und Sicherheitsfonds</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8 %</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Timelock, zweckgebunden, öffentliches Budget</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Insel-/Hafenpilot</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4 %</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lokale Caps, Rückabwicklungsklausel</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Diaspora- und Exportliquidität</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4 %</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transparente Auktionen, keine Wechselkursgarantie</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Strategische Notfallliquidität</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4 %</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keine Geldschöpfung; nur bereits existente Einheiten</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Forschung, Audit und Bug Bounty</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2 %</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Meilenstein-Vesting</w:t>
            </w:r>
          </w:p>
        </w:tc>
      </w:tr>
    </w:tbl>
    <w:p>
      <w:pPr>
        <w:pStyle w:val="BodyText"/>
      </w:pPr>
      <w:r>
        <w:rPr>
          <w:rFonts w:ascii="Calibri" w:hAnsi="Calibri" w:eastAsia="Calibri"/>
        </w:rPr>
        <w:t xml:space="preserve">Jede Zuteilung ist on-chain vorab sichtbar. Kein Empfänger erhält ein Protokollrecht zur weiteren Prägung.</w:t>
      </w:r>
    </w:p>
    <w:bookmarkEnd w:id="23"/>
    <w:bookmarkStart w:id="24" w:name="X0be58a5faac47af5d3724f1b5c7518fe9704645"/>
    <w:p>
      <w:pPr>
        <w:pStyle w:val="Heading2"/>
      </w:pPr>
      <w:r>
        <w:rPr>
          <w:rFonts w:ascii="Calibri" w:hAnsi="Calibri" w:eastAsia="Calibri"/>
        </w:rPr>
        <w:t xml:space="preserve">2.5 Wertstabilität ohne Peg</w:t>
      </w:r>
    </w:p>
    <w:p>
      <w:pPr>
        <w:pStyle w:val="FirstParagraph"/>
      </w:pPr>
      <w:r>
        <w:rPr>
          <w:rFonts w:ascii="Calibri" w:hAnsi="Calibri" w:eastAsia="Calibri"/>
        </w:rPr>
        <w:t xml:space="preserve">Das System verspricht keine feste Kaufkraft. Ein amtlicher</w:t>
      </w:r>
      <w:r>
        <w:rPr>
          <w:rFonts w:ascii="Calibri" w:hAnsi="Calibri" w:eastAsia="Calibri"/>
        </w:rPr>
        <w:t xml:space="preserve"> </w:t>
      </w:r>
      <w:r>
        <w:rPr>
          <w:rFonts w:ascii="Calibri" w:hAnsi="Calibri" w:eastAsia="Calibri"/>
          <w:b/>
          <w:bCs/>
        </w:rPr>
        <w:t xml:space="preserve">ΔΡΑΧ-Kaufkraftindex</w:t>
      </w:r>
      <w:r>
        <w:rPr>
          <w:rFonts w:ascii="Calibri" w:hAnsi="Calibri" w:eastAsia="Calibri"/>
        </w:rPr>
        <w:t xml:space="preserve"> </w:t>
      </w:r>
      <w:r>
        <w:rPr>
          <w:rFonts w:ascii="Calibri" w:hAnsi="Calibri" w:eastAsia="Calibri"/>
        </w:rPr>
        <w:t xml:space="preserve">kann Brot, Strom, Fähre, Olivenöl, Miete und Diesel abbilden, dient aber nur der Statistik, Lohn- und Vertragsindexierung. Er darf weder automatische Geldschöpfung noch Einlösung gegen einen Fiatkorb auslösen. So bleibt die Währung fiat-ungebunden, während Regierung, Tarifpartner und Haushalte reale Kaufkraft beobachten können.</w:t>
      </w:r>
    </w:p>
    <w:bookmarkEnd w:id="24"/>
    <w:bookmarkStart w:id="25" w:name="X9afd5eeefe3c2dd3265cf5b0e8a8cf6b96650bf"/>
    <w:p>
      <w:pPr>
        <w:pStyle w:val="Heading2"/>
      </w:pPr>
      <w:r>
        <w:rPr>
          <w:rFonts w:ascii="Calibri" w:hAnsi="Calibri" w:eastAsia="Calibri"/>
        </w:rPr>
        <w:t xml:space="preserve">2.6 Seigniorage</w:t>
      </w:r>
    </w:p>
    <w:p>
      <w:pPr>
        <w:pStyle w:val="FirstParagraph"/>
      </w:pPr>
      <w:r>
        <w:rPr>
          <w:rFonts w:ascii="Calibri" w:hAnsi="Calibri" w:eastAsia="Calibri"/>
        </w:rPr>
        <w:t xml:space="preserve">Seigniorage entsteht nur bei Genesis und bei der kodierten Security-Tranche. Sie wird nicht als laufende Regierungseinnahme behandelt. Gewinne aus Ausgabe, verlorenen physischen Trägern oder Gebühren fließen in einen getrennten, öffentlich bilanzierten Infrastruktur- und Verlustausgleichsfonds. Die Regierung darf Budgetdefizite nicht durch Protokollprägung finanzieren.</w:t>
      </w:r>
    </w:p>
    <w:p>
      <w:pPr>
        <w:pStyle w:val="BodyText"/>
      </w:pPr>
      <w:r>
        <w:rPr>
          <w:rFonts w:ascii="Calibri" w:hAnsi="Calibri" w:eastAsia="Calibri"/>
        </w:rPr>
        <w:br w:type="page"/>
      </w:r>
    </w:p>
    <w:bookmarkEnd w:id="25"/>
    <w:bookmarkEnd w:id="26"/>
    <w:bookmarkStart w:id="35" w:name="X11f47f9e32c87e694d7b31a5ab9fc2121590e8f"/>
    <w:p>
      <w:pPr>
        <w:pStyle w:val="Heading1"/>
      </w:pPr>
      <w:r>
        <w:rPr>
          <w:rFonts w:ascii="Calibri" w:hAnsi="Calibri" w:eastAsia="Calibri"/>
        </w:rPr>
        <w:t xml:space="preserve">3. Technische Architektur auf Kaspa Toccata</w:t>
      </w:r>
    </w:p>
    <w:bookmarkStart w:id="27" w:name="X78e1c3225707747267671d6845b3574dbf5899a"/>
    <w:p>
      <w:pPr>
        <w:pStyle w:val="Heading2"/>
      </w:pPr>
      <w:r>
        <w:rPr>
          <w:rFonts w:ascii="Calibri" w:hAnsi="Calibri" w:eastAsia="Calibri"/>
        </w:rPr>
        <w:t xml:space="preserve">3.1 Warum Kaspa Toccata</w:t>
      </w:r>
    </w:p>
    <w:p>
      <w:pPr>
        <w:pStyle w:val="FirstParagraph"/>
      </w:pPr>
      <w:r>
        <w:rPr>
          <w:rFonts w:ascii="Calibri" w:hAnsi="Calibri" w:eastAsia="Calibri"/>
        </w:rPr>
        <w:t xml:space="preserve">Toccata erweitert Kaspa um UTXO-native Covenants, Transaction v1, Script Pricing, Inline-ZK-Primitive und based application paths. Ein Covenant kann beim Ausgeben seinen eigenen Nachfolger validieren. Diese Selbstfortsetzung passt zur ΔΡΑΧ-Kernfrage: Nicht ein Administrator, sondern jede gültige Transaktion beweist Mengenhaltung, Zustandsübergang und Berechtigung.</w:t>
      </w:r>
    </w:p>
    <w:p>
      <w:pPr>
        <w:pStyle w:val="BodyText"/>
      </w:pPr>
      <w:r>
        <w:rPr>
          <w:rFonts w:ascii="Calibri" w:hAnsi="Calibri" w:eastAsia="Calibri"/>
        </w:rPr>
        <w:t xml:space="preserve">Kaspa wurde gegenüber einer EVM-App-Chain gewählt, weil das UTXO-Modell Bearer Value, parallele Verarbeitung und lokale Zustandsübergänge nativ abbildet. Die Wahl ist dennoch experimentell: globale Singletons, Indexer-Reife, Wallet-UX, Compiler-Audits, UTXO-Fragmentierung, Transaktionsmasse und CashLot-Sharding müssen im Testnet belegt werden.</w:t>
      </w:r>
    </w:p>
    <w:bookmarkEnd w:id="27"/>
    <w:bookmarkStart w:id="28" w:name="Xa1e790a005cfb9e96acde6df6ce46f60ac5ec27"/>
    <w:p>
      <w:pPr>
        <w:pStyle w:val="Heading2"/>
      </w:pPr>
      <w:r>
        <w:rPr>
          <w:rFonts w:ascii="Calibri" w:hAnsi="Calibri" w:eastAsia="Calibri"/>
        </w:rPr>
        <w:t xml:space="preserve">3.2 Kein Kontomodell, keine zentrale Token-Registry</w:t>
      </w:r>
    </w:p>
    <w:p>
      <w:pPr>
        <w:pStyle w:val="FirstParagraph"/>
      </w:pPr>
      <w:r>
        <w:rPr>
          <w:rFonts w:ascii="Calibri" w:hAnsi="Calibri" w:eastAsia="Calibri"/>
        </w:rPr>
        <w:t xml:space="preserve">ΔΡΑΧ wird als Covenant-Familie mit stabiler Covenant-ID dargestellt. Besitz besteht in der Fähigkeit, den jeweiligen UTXO nach den festgelegten Bedingungen auszugeben. Es gibt keinen globalen</w:t>
      </w:r>
      <w:r>
        <w:rPr>
          <w:rFonts w:ascii="Calibri" w:hAnsi="Calibri" w:eastAsia="Calibri"/>
        </w:rPr>
        <w:t xml:space="preserve"> </w:t>
      </w:r>
      <w:r>
        <w:rPr>
          <w:rStyle w:val="VerbatimChar"/>
          <w:rFonts w:ascii="Calibri" w:hAnsi="Calibri" w:eastAsia="Calibri"/>
        </w:rPr>
        <w:t xml:space="preserve">balances[address]</w:t>
      </w:r>
      <w:r>
        <w:rPr>
          <w:rFonts w:ascii="Calibri" w:hAnsi="Calibri" w:eastAsia="Calibri"/>
        </w:rPr>
        <w:t xml:space="preserve">-Speicher, keine Blacklist und keine</w:t>
      </w:r>
      <w:r>
        <w:rPr>
          <w:rFonts w:ascii="Calibri" w:hAnsi="Calibri" w:eastAsia="Calibri"/>
        </w:rPr>
        <w:t xml:space="preserve"> </w:t>
      </w:r>
      <w:r>
        <w:rPr>
          <w:rStyle w:val="VerbatimChar"/>
          <w:rFonts w:ascii="Calibri" w:hAnsi="Calibri" w:eastAsia="Calibri"/>
        </w:rPr>
        <w:t xml:space="preserve">pauseAll()</w:t>
      </w:r>
      <w:r>
        <w:rPr>
          <w:rFonts w:ascii="Calibri" w:hAnsi="Calibri" w:eastAsia="Calibri"/>
        </w:rPr>
        <w:t xml:space="preserve">-Funktion. Wallets aggregieren mehrere Bearer UTXOs zu einer benutzerfreundlichen Bilanz.</w:t>
      </w:r>
    </w:p>
    <w:bookmarkEnd w:id="28"/>
    <w:bookmarkStart w:id="29" w:name="X4f2652736fd6d4b9117cccf75b805c971dbb336"/>
    <w:p>
      <w:pPr>
        <w:pStyle w:val="Heading2"/>
      </w:pPr>
      <w:r>
        <w:rPr>
          <w:rFonts w:ascii="Calibri" w:hAnsi="Calibri" w:eastAsia="Calibri"/>
        </w:rPr>
        <w:t xml:space="preserve">3.3 Covenant-Familien</w:t>
      </w:r>
    </w:p>
    <w:tbl>
      <w:tblPr>
        <w:tblStyle w:val="Table"/>
        <w:tblW w:type="auto" w:w="0"/>
        <w:jc w:val="center"/>
        <w:tblLayout w:type="autofit"/>
        <w:tblLook w:firstRow="1" w:lastRow="0" w:firstColumn="0" w:lastColumn="0" w:noHBand="0" w:noVBand="0" w:val="0020"/>
      </w:tblPr>
      <w:tblGrid>
        <w:gridCol w:w="2640"/>
        <w:gridCol w:w="2640"/>
        <w:gridCol w:w="2640"/>
      </w:tblGrid>
      <w:tr>
        <w:trPr>
          <w:tblHeader w:val="on"/>
        </w:trPr>
        <w:tc>
          <w:tcPr>
            <w:vAlign w:val="center"/>
            <w:tcMar>
              <w:top w:w="90" w:type="dxa"/>
              <w:start w:w="110" w:type="dxa"/>
              <w:bottom w:w="90" w:type="dxa"/>
              <w:end w:w="110" w:type="dxa"/>
            </w:tcMar>
            <w:shd w:fill="071426"/>
          </w:tcPr>
          <w:p>
            <w:pPr>
              <w:pStyle w:val="Compact"/>
              <w:spacing w:after="40"/>
              <w:jc w:val="left"/>
            </w:pPr>
            <w:r>
              <w:rPr>
                <w:rFonts w:ascii="Calibri" w:hAnsi="Calibri" w:eastAsia="Calibri"/>
                <w:b/>
                <w:color w:val="FFFFFF"/>
                <w:sz w:val="18"/>
              </w:rPr>
              <w:t xml:space="preserve">Covenant</w:t>
            </w:r>
          </w:p>
        </w:tc>
        <w:tc>
          <w:tcPr>
            <w:vAlign w:val="center"/>
            <w:tcMar>
              <w:top w:w="90" w:type="dxa"/>
              <w:start w:w="110" w:type="dxa"/>
              <w:bottom w:w="90" w:type="dxa"/>
              <w:end w:w="110" w:type="dxa"/>
            </w:tcMar>
            <w:shd w:fill="071426"/>
          </w:tcPr>
          <w:p>
            <w:pPr>
              <w:pStyle w:val="Compact"/>
              <w:spacing w:after="40"/>
              <w:jc w:val="left"/>
            </w:pPr>
            <w:r>
              <w:rPr>
                <w:rFonts w:ascii="Calibri" w:hAnsi="Calibri" w:eastAsia="Calibri"/>
                <w:b/>
                <w:color w:val="FFFFFF"/>
                <w:sz w:val="18"/>
              </w:rPr>
              <w:t xml:space="preserve">Aufgabe</w:t>
            </w:r>
          </w:p>
        </w:tc>
        <w:tc>
          <w:tcPr>
            <w:vAlign w:val="center"/>
            <w:tcMar>
              <w:top w:w="90" w:type="dxa"/>
              <w:start w:w="110" w:type="dxa"/>
              <w:bottom w:w="90" w:type="dxa"/>
              <w:end w:w="110" w:type="dxa"/>
            </w:tcMar>
            <w:shd w:fill="071426"/>
          </w:tcPr>
          <w:p>
            <w:pPr>
              <w:pStyle w:val="Compact"/>
              <w:spacing w:after="40"/>
              <w:jc w:val="left"/>
            </w:pPr>
            <w:r>
              <w:rPr>
                <w:rFonts w:ascii="Calibri" w:hAnsi="Calibri" w:eastAsia="Calibri"/>
                <w:b/>
                <w:color w:val="FFFFFF"/>
                <w:sz w:val="18"/>
              </w:rPr>
              <w:t xml:space="preserve">Unveränderlicher Kern</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Constitution</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M0, Rmax, Mmax, Emissionskalender, Genesis-Sunset</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absolute Obergrenze; keine nachträgliche Mint-Authority</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Bearer</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split, merge, transfer</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Wertkonservation; keine Freeze-Prüfung</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CashLot</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Sperrung für Note/Münze, Serien-/Batch-Commitment, Vernichtung/Unlock</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physischer Nominalwert ≤ gesperrter Wert</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OfflineLock</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vorfinanzierter Offline-Wert, Ablauf und Claim-Regeln</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kein Offline-Wert ohne Lock</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Recovery/Escrow</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eng begrenzte Streit- und Verlustfälle</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keine verdeckte Geldschöpfung</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Steward Sunset</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Parametrisierung nur in Genesis-Fenster</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automatischer Rechteverfall</w:t>
            </w:r>
          </w:p>
        </w:tc>
      </w:tr>
    </w:tbl>
    <w:bookmarkEnd w:id="29"/>
    <w:bookmarkStart w:id="30" w:name="Xb2c014e7369c4fb71292466f78fde6b17243977"/>
    <w:p>
      <w:pPr>
        <w:pStyle w:val="Heading2"/>
      </w:pPr>
      <w:r>
        <w:rPr>
          <w:rFonts w:ascii="Calibri" w:hAnsi="Calibri" w:eastAsia="Calibri"/>
        </w:rPr>
        <w:t xml:space="preserve">3.4 Constitution Covenant</w:t>
      </w:r>
    </w:p>
    <w:p>
      <w:pPr>
        <w:pStyle w:val="FirstParagraph"/>
      </w:pPr>
      <w:r>
        <w:rPr>
          <w:rFonts w:ascii="Calibri" w:hAnsi="Calibri" w:eastAsia="Calibri"/>
        </w:rPr>
        <w:t xml:space="preserve">Der Constitution Covenant ist kein frei upgradebarer „Master Contract“. Er validiert nur die Nachfolger eines begrenzten Zustandsobjekts: bereits emittierte Menge, verbleibender Security-Korridor, Epoche und Sunset-Status. Jede Emissionstransaktion muss sowohl den kodierten Zeitplan als auch</w:t>
      </w:r>
      <w:r>
        <w:rPr>
          <w:rFonts w:ascii="Calibri" w:hAnsi="Calibri" w:eastAsia="Calibri"/>
        </w:rPr>
        <w:t xml:space="preserve"> </w:t>
      </w:r>
      <w:r>
        <w:rPr>
          <w:rStyle w:val="VerbatimChar"/>
          <w:rFonts w:ascii="Calibri" w:hAnsi="Calibri" w:eastAsia="Calibri"/>
        </w:rPr>
        <w:t xml:space="preserve">S ≤ Mmax</w:t>
      </w:r>
      <w:r>
        <w:rPr>
          <w:rFonts w:ascii="Calibri" w:hAnsi="Calibri" w:eastAsia="Calibri"/>
        </w:rPr>
        <w:t xml:space="preserve"> </w:t>
      </w:r>
      <w:r>
        <w:rPr>
          <w:rFonts w:ascii="Calibri" w:hAnsi="Calibri" w:eastAsia="Calibri"/>
        </w:rPr>
        <w:t xml:space="preserve">erfüllen. Nach Sunset existiert kein Schlüssel, der neue Regeln autorisieren kann.</w:t>
      </w:r>
    </w:p>
    <w:p>
      <w:pPr>
        <w:pStyle w:val="BodyText"/>
      </w:pPr>
      <w:r>
        <w:rPr>
          <w:rFonts w:ascii="Calibri" w:hAnsi="Calibri" w:eastAsia="Calibri"/>
        </w:rPr>
        <w:t xml:space="preserve">Ein globaler Singleton kann auf UTXO-Systemen zum Engpass werden. Deshalb wird der tägliche Zahlungsverkehr nicht durch den Singleton serialisiert. Nur seltene Emissionsereignisse berühren den Constitution State; normale Bearer-Transfers sind lokal konservierend.</w:t>
      </w:r>
    </w:p>
    <w:bookmarkEnd w:id="30"/>
    <w:bookmarkStart w:id="31" w:name="Xb43eef175da14034454ca140bdae360116e7c9f"/>
    <w:p>
      <w:pPr>
        <w:pStyle w:val="Heading2"/>
      </w:pPr>
      <w:r>
        <w:rPr>
          <w:rFonts w:ascii="Calibri" w:hAnsi="Calibri" w:eastAsia="Calibri"/>
        </w:rPr>
        <w:t xml:space="preserve">3.5 Bearer-Transfers</w:t>
      </w:r>
    </w:p>
    <w:p>
      <w:pPr>
        <w:pStyle w:val="FirstParagraph"/>
      </w:pPr>
      <w:r>
        <w:rPr>
          <w:rFonts w:ascii="Calibri" w:hAnsi="Calibri" w:eastAsia="Calibri"/>
        </w:rPr>
        <w:t xml:space="preserve">Ein Transfer verbraucht einen oder mehrere ΔΡΑΧ-UTXOs und erzeugt Nachfolger derselben Covenant-Familie. Gültigkeit erfordert:</w:t>
      </w:r>
    </w:p>
    <w:p>
      <w:pPr>
        <w:pStyle w:val="Compact"/>
        <w:numPr>
          <w:ilvl w:val="0"/>
          <w:numId w:val="1007"/>
        </w:numPr>
      </w:pPr>
      <w:r>
        <w:rPr>
          <w:rFonts w:ascii="Calibri" w:hAnsi="Calibri" w:eastAsia="Calibri"/>
        </w:rPr>
        <w:t xml:space="preserve">Covenant-ID und Asset-Domain stimmen;</w:t>
      </w:r>
    </w:p>
    <w:p>
      <w:pPr>
        <w:pStyle w:val="Compact"/>
        <w:numPr>
          <w:ilvl w:val="0"/>
          <w:numId w:val="1007"/>
        </w:numPr>
      </w:pPr>
      <w:r>
        <w:rPr>
          <w:rFonts w:ascii="Calibri" w:hAnsi="Calibri" w:eastAsia="Calibri"/>
        </w:rPr>
        <w:t xml:space="preserve">Summe der ΔΡΑΧ-Werte in Inputs entspricht der Summe in Outputs, außer bei einem autorisierten Emissions- oder Burn-Pfad;</w:t>
      </w:r>
    </w:p>
    <w:p>
      <w:pPr>
        <w:pStyle w:val="Compact"/>
        <w:numPr>
          <w:ilvl w:val="0"/>
          <w:numId w:val="1007"/>
        </w:numPr>
      </w:pPr>
      <w:r>
        <w:rPr>
          <w:rFonts w:ascii="Calibri" w:hAnsi="Calibri" w:eastAsia="Calibri"/>
        </w:rPr>
        <w:t xml:space="preserve">Signaturen und Script-Constraints sind erfüllt;</w:t>
      </w:r>
    </w:p>
    <w:p>
      <w:pPr>
        <w:pStyle w:val="Compact"/>
        <w:numPr>
          <w:ilvl w:val="0"/>
          <w:numId w:val="1007"/>
        </w:numPr>
      </w:pPr>
      <w:r>
        <w:rPr>
          <w:rFonts w:ascii="Calibri" w:hAnsi="Calibri" w:eastAsia="Calibri"/>
        </w:rPr>
        <w:t xml:space="preserve">kein Output überschreitet Integer- oder Massengrenzen;</w:t>
      </w:r>
    </w:p>
    <w:p>
      <w:pPr>
        <w:pStyle w:val="Compact"/>
        <w:numPr>
          <w:ilvl w:val="0"/>
          <w:numId w:val="1007"/>
        </w:numPr>
      </w:pPr>
      <w:r>
        <w:rPr>
          <w:rFonts w:ascii="Calibri" w:hAnsi="Calibri" w:eastAsia="Calibri"/>
        </w:rPr>
        <w:t xml:space="preserve">Dust- und Fragmentierungsregeln werden eingehalten.</w:t>
      </w:r>
    </w:p>
    <w:bookmarkEnd w:id="31"/>
    <w:bookmarkStart w:id="32" w:name="Xd9ca380e2473620cf1ee6dc7833f552a788fa69"/>
    <w:p>
      <w:pPr>
        <w:pStyle w:val="Heading2"/>
      </w:pPr>
      <w:r>
        <w:rPr>
          <w:rFonts w:ascii="Calibri" w:hAnsi="Calibri" w:eastAsia="Calibri"/>
        </w:rPr>
        <w:t xml:space="preserve">3.6 Gebühren</w:t>
      </w:r>
    </w:p>
    <w:p>
      <w:pPr>
        <w:pStyle w:val="FirstParagraph"/>
      </w:pPr>
      <w:r>
        <w:rPr>
          <w:rFonts w:ascii="Calibri" w:hAnsi="Calibri" w:eastAsia="Calibri"/>
        </w:rPr>
        <w:t xml:space="preserve">In der ersten Version werden Netzwerkgebühren in KAS entrichtet. Wallets können die Gebühr über Sponsoring, Paymaster-ähnliche Services oder automatische KAS-Mikrobeschaffung abstrahieren; die Basisschicht bleibt aber KAS-abhängig. Ein offizieller Dienst darf dafür keine Wechselkursgarantie geben. Phase 0 misst KAS-Verfügbarkeit, Gebührenvolatilität, Zensurpfade und Abhängigkeit von Drittbörsen.</w:t>
      </w:r>
    </w:p>
    <w:bookmarkEnd w:id="32"/>
    <w:bookmarkStart w:id="33" w:name="X1de838a246c1c39d60adb3787c911b1d60195ee"/>
    <w:p>
      <w:pPr>
        <w:pStyle w:val="Heading2"/>
      </w:pPr>
      <w:r>
        <w:rPr>
          <w:rFonts w:ascii="Calibri" w:hAnsi="Calibri" w:eastAsia="Calibri"/>
        </w:rPr>
        <w:t xml:space="preserve">3.7 Indexer und öffentliche Auditierbarkeit</w:t>
      </w:r>
    </w:p>
    <w:p>
      <w:pPr>
        <w:pStyle w:val="FirstParagraph"/>
      </w:pPr>
      <w:r>
        <w:rPr>
          <w:rFonts w:ascii="Calibri" w:hAnsi="Calibri" w:eastAsia="Calibri"/>
        </w:rPr>
        <w:t xml:space="preserve">Mindestens drei unabhängig betriebene Indexer rekonstruieren:</w:t>
      </w:r>
    </w:p>
    <w:p>
      <w:pPr>
        <w:pStyle w:val="Compact"/>
        <w:numPr>
          <w:ilvl w:val="0"/>
          <w:numId w:val="1008"/>
        </w:numPr>
      </w:pPr>
      <w:r>
        <w:rPr>
          <w:rFonts w:ascii="Calibri" w:hAnsi="Calibri" w:eastAsia="Calibri"/>
        </w:rPr>
        <w:t xml:space="preserve">Gesamtmenge und Teilmengen D/P/O/E;</w:t>
      </w:r>
    </w:p>
    <w:p>
      <w:pPr>
        <w:pStyle w:val="Compact"/>
        <w:numPr>
          <w:ilvl w:val="0"/>
          <w:numId w:val="1008"/>
        </w:numPr>
      </w:pPr>
      <w:r>
        <w:rPr>
          <w:rFonts w:ascii="Calibri" w:hAnsi="Calibri" w:eastAsia="Calibri"/>
        </w:rPr>
        <w:t xml:space="preserve">Genesis- und Security-Emissionen;</w:t>
      </w:r>
    </w:p>
    <w:p>
      <w:pPr>
        <w:pStyle w:val="Compact"/>
        <w:numPr>
          <w:ilvl w:val="0"/>
          <w:numId w:val="1008"/>
        </w:numPr>
      </w:pPr>
      <w:r>
        <w:rPr>
          <w:rFonts w:ascii="Calibri" w:hAnsi="Calibri" w:eastAsia="Calibri"/>
        </w:rPr>
        <w:t xml:space="preserve">CashLot-Status je Batch;</w:t>
      </w:r>
    </w:p>
    <w:p>
      <w:pPr>
        <w:pStyle w:val="Compact"/>
        <w:numPr>
          <w:ilvl w:val="0"/>
          <w:numId w:val="1008"/>
        </w:numPr>
      </w:pPr>
      <w:r>
        <w:rPr>
          <w:rFonts w:ascii="Calibri" w:hAnsi="Calibri" w:eastAsia="Calibri"/>
        </w:rPr>
        <w:t xml:space="preserve">OfflineLock-Alter und Abrechnungsstatus;</w:t>
      </w:r>
    </w:p>
    <w:p>
      <w:pPr>
        <w:pStyle w:val="Compact"/>
        <w:numPr>
          <w:ilvl w:val="0"/>
          <w:numId w:val="1008"/>
        </w:numPr>
      </w:pPr>
      <w:r>
        <w:rPr>
          <w:rFonts w:ascii="Calibri" w:hAnsi="Calibri" w:eastAsia="Calibri"/>
        </w:rPr>
        <w:t xml:space="preserve">Steward-Schlüssel und Sunset-Zustand;</w:t>
      </w:r>
    </w:p>
    <w:p>
      <w:pPr>
        <w:pStyle w:val="Compact"/>
        <w:numPr>
          <w:ilvl w:val="0"/>
          <w:numId w:val="1008"/>
        </w:numPr>
      </w:pPr>
      <w:r>
        <w:rPr>
          <w:rFonts w:ascii="Calibri" w:hAnsi="Calibri" w:eastAsia="Calibri"/>
        </w:rPr>
        <w:t xml:space="preserve">Abweichungen zwischen physischen Registern und on-chain Commitments.</w:t>
      </w:r>
    </w:p>
    <w:p>
      <w:pPr>
        <w:pStyle w:val="FirstParagraph"/>
      </w:pPr>
      <w:r>
        <w:rPr>
          <w:rFonts w:ascii="Calibri" w:hAnsi="Calibri" w:eastAsia="Calibri"/>
        </w:rPr>
        <w:t xml:space="preserve">Ein Indexer ist Lesetechnik, keine Konsensusquelle. Bei Ausfall bleibt die Kette gültig; Nutzer benötigen jedoch alternative Indexer, Full-Node-Validierung und reproduzierbare Open-Source-Software.</w:t>
      </w:r>
    </w:p>
    <w:bookmarkEnd w:id="33"/>
    <w:bookmarkStart w:id="34" w:name="X6196727194cc4fcddf873178dafe271f77c266b"/>
    <w:p>
      <w:pPr>
        <w:pStyle w:val="Heading2"/>
      </w:pPr>
      <w:r>
        <w:rPr>
          <w:rFonts w:ascii="Calibri" w:hAnsi="Calibri" w:eastAsia="Calibri"/>
        </w:rPr>
        <w:t xml:space="preserve">3.8 Migration und Exit</w:t>
      </w:r>
    </w:p>
    <w:p>
      <w:pPr>
        <w:pStyle w:val="FirstParagraph"/>
      </w:pPr>
      <w:r>
        <w:rPr>
          <w:rFonts w:ascii="Calibri" w:hAnsi="Calibri" w:eastAsia="Calibri"/>
        </w:rPr>
        <w:t xml:space="preserve">Vollständige staatliche Souveränität kann auf einem fremden Netzwerk nicht behauptet werden. Daher ist ein Migrationstest Bestandteil der Phase 0: Snapshot einer definierten Covenant-Familie, unabhängige Rekonstruktion, Zwei-Wege-Claim mit eindeutiger Burn-/Lock-Regel und Schutz gegen Doppelgeltung. Eine reale Migration wäre nur durch Gesetz, lange Vorlaufzeit und öffentliches Opt-in zulässig. Der Test ist eine Risikoprüfung, keine Vorentscheidung für eine eigene Chain.</w:t>
      </w:r>
    </w:p>
    <w:p>
      <w:pPr>
        <w:pStyle w:val="BodyText"/>
      </w:pPr>
      <w:r>
        <w:rPr>
          <w:rFonts w:ascii="Calibri" w:hAnsi="Calibri" w:eastAsia="Calibri"/>
        </w:rPr>
        <w:br w:type="page"/>
      </w:r>
    </w:p>
    <w:bookmarkEnd w:id="34"/>
    <w:bookmarkEnd w:id="35"/>
    <w:bookmarkStart w:id="43" w:name="Xd4745c6006484b19dd09c650c5d3f7252741c58"/>
    <w:p>
      <w:pPr>
        <w:pStyle w:val="Heading1"/>
      </w:pPr>
      <w:r>
        <w:rPr>
          <w:rFonts w:ascii="Calibri" w:hAnsi="Calibri" w:eastAsia="Calibri"/>
        </w:rPr>
        <w:t xml:space="preserve">4. Bargeld und Metall: die physische Brücke</w:t>
      </w:r>
    </w:p>
    <w:bookmarkStart w:id="36" w:name="Xb83fc43f435f99b51453cb2f3a5ed74cab5670e"/>
    <w:p>
      <w:pPr>
        <w:pStyle w:val="Heading2"/>
      </w:pPr>
      <w:r>
        <w:rPr>
          <w:rFonts w:ascii="Calibri" w:hAnsi="Calibri" w:eastAsia="Calibri"/>
        </w:rPr>
        <w:t xml:space="preserve">4.1 Grundsatz</w:t>
      </w:r>
    </w:p>
    <w:p>
      <w:pPr>
        <w:pStyle w:val="FirstParagraph"/>
      </w:pPr>
      <w:r>
        <w:rPr>
          <w:rFonts w:ascii="Calibri" w:hAnsi="Calibri" w:eastAsia="Calibri"/>
        </w:rPr>
        <w:t xml:space="preserve">Papier und Metall repräsentieren gesperrte digitale ΔΡΑΧ. Eine Banknote ist kein privater Bankschuldschein und kein zusätzlicher Token. Die rechtliche Verbindlichkeit liegt beim Protokoll-/Währungssystem; die ausgebende Cash Utility handelt als gesetzlich begrenzter Operator und haftet für ordnungsgemäße Ausgabe, Prüfung und Vernichtung.</w:t>
      </w:r>
    </w:p>
    <w:bookmarkEnd w:id="36"/>
    <w:bookmarkStart w:id="37" w:name="X1bdf9670a6f628c8233129f31e810753e7a062c"/>
    <w:p>
      <w:pPr>
        <w:pStyle w:val="Heading2"/>
      </w:pPr>
      <w:r>
        <w:rPr>
          <w:rFonts w:ascii="Calibri" w:hAnsi="Calibri" w:eastAsia="Calibri"/>
        </w:rPr>
        <w:t xml:space="preserve">4.2 CashLot-Lebenszyklus</w:t>
      </w:r>
    </w:p>
    <w:p>
      <w:pPr>
        <w:pStyle w:val="Compact"/>
        <w:numPr>
          <w:ilvl w:val="0"/>
          <w:numId w:val="1009"/>
        </w:numPr>
      </w:pPr>
      <w:r>
        <w:rPr>
          <w:rFonts w:ascii="Calibri" w:hAnsi="Calibri" w:eastAsia="Calibri"/>
        </w:rPr>
        <w:t xml:space="preserve">Eine lizenzierte Bank oder Cash Utility sperrt</w:t>
      </w:r>
      <w:r>
        <w:rPr>
          <w:rFonts w:ascii="Calibri" w:hAnsi="Calibri" w:eastAsia="Calibri"/>
        </w:rPr>
        <w:t xml:space="preserve"> </w:t>
      </w:r>
      <w:r>
        <w:rPr>
          <w:rStyle w:val="VerbatimChar"/>
          <w:rFonts w:ascii="Calibri" w:hAnsi="Calibri" w:eastAsia="Calibri"/>
        </w:rPr>
        <w:t xml:space="preserve">x ΔΡΑΧ</w:t>
      </w:r>
      <w:r>
        <w:rPr>
          <w:rFonts w:ascii="Calibri" w:hAnsi="Calibri" w:eastAsia="Calibri"/>
        </w:rPr>
        <w:t xml:space="preserve"> </w:t>
      </w:r>
      <w:r>
        <w:rPr>
          <w:rFonts w:ascii="Calibri" w:hAnsi="Calibri" w:eastAsia="Calibri"/>
        </w:rPr>
        <w:t xml:space="preserve">in einem CashLot-Covenant.</w:t>
      </w:r>
    </w:p>
    <w:p>
      <w:pPr>
        <w:pStyle w:val="Compact"/>
        <w:numPr>
          <w:ilvl w:val="0"/>
          <w:numId w:val="1009"/>
        </w:numPr>
      </w:pPr>
      <w:r>
        <w:rPr>
          <w:rFonts w:ascii="Calibri" w:hAnsi="Calibri" w:eastAsia="Calibri"/>
        </w:rPr>
        <w:t xml:space="preserve">Der Covenant erzeugt einen nicht übertragbaren Produktions-Warrant mit Batch-ID, Nominalsumme, Stückelung, Druck-/Prägestelle und Ablaufdatum.</w:t>
      </w:r>
    </w:p>
    <w:p>
      <w:pPr>
        <w:pStyle w:val="Compact"/>
        <w:numPr>
          <w:ilvl w:val="0"/>
          <w:numId w:val="1009"/>
        </w:numPr>
      </w:pPr>
      <w:r>
        <w:rPr>
          <w:rFonts w:ascii="Calibri" w:hAnsi="Calibri" w:eastAsia="Calibri"/>
        </w:rPr>
        <w:t xml:space="preserve">Druckerei oder Münzstätte produziert Träger mit Seriennummer, maschinenlesbarem Commitment und physischen Sicherheitsmerkmalen.</w:t>
      </w:r>
    </w:p>
    <w:p>
      <w:pPr>
        <w:pStyle w:val="Compact"/>
        <w:numPr>
          <w:ilvl w:val="0"/>
          <w:numId w:val="1009"/>
        </w:numPr>
      </w:pPr>
      <w:r>
        <w:rPr>
          <w:rFonts w:ascii="Calibri" w:hAnsi="Calibri" w:eastAsia="Calibri"/>
        </w:rPr>
        <w:t xml:space="preserve">Ein unabhängiger Prüfer attestiert Menge und Qualität; erst dann wechselt der Lot in „Issued“.</w:t>
      </w:r>
    </w:p>
    <w:p>
      <w:pPr>
        <w:pStyle w:val="Compact"/>
        <w:numPr>
          <w:ilvl w:val="0"/>
          <w:numId w:val="1009"/>
        </w:numPr>
      </w:pPr>
      <w:r>
        <w:rPr>
          <w:rFonts w:ascii="Calibri" w:hAnsi="Calibri" w:eastAsia="Calibri"/>
        </w:rPr>
        <w:t xml:space="preserve">Bei Rückgabe wird der Träger geprüft, entwertet und physisch vernichtet.</w:t>
      </w:r>
    </w:p>
    <w:p>
      <w:pPr>
        <w:pStyle w:val="Compact"/>
        <w:numPr>
          <w:ilvl w:val="0"/>
          <w:numId w:val="1009"/>
        </w:numPr>
      </w:pPr>
      <w:r>
        <w:rPr>
          <w:rFonts w:ascii="Calibri" w:hAnsi="Calibri" w:eastAsia="Calibri"/>
        </w:rPr>
        <w:t xml:space="preserve">Vernichtungsnachweis, Mehrparteienattest und Serienstatus autorisieren die Freigabe desselben Nominalbetrags digital.</w:t>
      </w:r>
    </w:p>
    <w:bookmarkEnd w:id="37"/>
    <w:bookmarkStart w:id="38" w:name="X9d873dbbafdaaeb1536d30248a0a3275def8a7e"/>
    <w:p>
      <w:pPr>
        <w:pStyle w:val="Heading2"/>
      </w:pPr>
      <w:r>
        <w:rPr>
          <w:rFonts w:ascii="Calibri" w:hAnsi="Calibri" w:eastAsia="Calibri"/>
        </w:rPr>
        <w:t xml:space="preserve">4.3 Zustände und Invarianten</w:t>
      </w:r>
    </w:p>
    <w:tbl>
      <w:tblPr>
        <w:tblStyle w:val="Table"/>
        <w:tblW w:type="auto" w:w="0"/>
        <w:jc w:val="center"/>
        <w:tblLayout w:type="autofit"/>
        <w:tblLook w:firstRow="1" w:lastRow="0" w:firstColumn="0" w:lastColumn="0" w:noHBand="0" w:noVBand="0" w:val="0020"/>
      </w:tblPr>
      <w:tblGrid>
        <w:gridCol w:w="1980"/>
        <w:gridCol w:w="1980"/>
        <w:gridCol w:w="1980"/>
        <w:gridCol w:w="1980"/>
      </w:tblGrid>
      <w:tr>
        <w:trPr>
          <w:tblHeader w:val="on"/>
        </w:trPr>
        <w:tc>
          <w:tcPr>
            <w:vAlign w:val="center"/>
            <w:tcMar>
              <w:top w:w="90" w:type="dxa"/>
              <w:start w:w="110" w:type="dxa"/>
              <w:bottom w:w="90" w:type="dxa"/>
              <w:end w:w="110" w:type="dxa"/>
            </w:tcMar>
            <w:shd w:fill="071426"/>
          </w:tcPr>
          <w:p>
            <w:pPr>
              <w:pStyle w:val="Compact"/>
              <w:spacing w:after="40"/>
              <w:jc w:val="left"/>
            </w:pPr>
            <w:r>
              <w:rPr>
                <w:rFonts w:ascii="Calibri" w:hAnsi="Calibri" w:eastAsia="Calibri"/>
                <w:b/>
                <w:color w:val="FFFFFF"/>
                <w:sz w:val="18"/>
              </w:rPr>
              <w:t xml:space="preserve">Zustand</w:t>
            </w:r>
          </w:p>
        </w:tc>
        <w:tc>
          <w:tcPr>
            <w:vAlign w:val="center"/>
            <w:tcMar>
              <w:top w:w="90" w:type="dxa"/>
              <w:start w:w="110" w:type="dxa"/>
              <w:bottom w:w="90" w:type="dxa"/>
              <w:end w:w="110" w:type="dxa"/>
            </w:tcMar>
            <w:shd w:fill="071426"/>
          </w:tcPr>
          <w:p>
            <w:pPr>
              <w:pStyle w:val="Compact"/>
              <w:spacing w:after="40"/>
              <w:jc w:val="left"/>
            </w:pPr>
            <w:r>
              <w:rPr>
                <w:rFonts w:ascii="Calibri" w:hAnsi="Calibri" w:eastAsia="Calibri"/>
                <w:b/>
                <w:color w:val="FFFFFF"/>
                <w:sz w:val="18"/>
              </w:rPr>
              <w:t xml:space="preserve">Physischer Umlauf</w:t>
            </w:r>
          </w:p>
        </w:tc>
        <w:tc>
          <w:tcPr>
            <w:vAlign w:val="center"/>
            <w:tcMar>
              <w:top w:w="90" w:type="dxa"/>
              <w:start w:w="110" w:type="dxa"/>
              <w:bottom w:w="90" w:type="dxa"/>
              <w:end w:w="110" w:type="dxa"/>
            </w:tcMar>
            <w:shd w:fill="071426"/>
          </w:tcPr>
          <w:p>
            <w:pPr>
              <w:pStyle w:val="Compact"/>
              <w:spacing w:after="40"/>
              <w:jc w:val="left"/>
            </w:pPr>
            <w:r>
              <w:rPr>
                <w:rFonts w:ascii="Calibri" w:hAnsi="Calibri" w:eastAsia="Calibri"/>
                <w:b/>
                <w:color w:val="FFFFFF"/>
                <w:sz w:val="18"/>
              </w:rPr>
              <w:t xml:space="preserve">Digital verfügbar</w:t>
            </w:r>
          </w:p>
        </w:tc>
        <w:tc>
          <w:tcPr>
            <w:vAlign w:val="center"/>
            <w:tcMar>
              <w:top w:w="90" w:type="dxa"/>
              <w:start w:w="110" w:type="dxa"/>
              <w:bottom w:w="90" w:type="dxa"/>
              <w:end w:w="110" w:type="dxa"/>
            </w:tcMar>
            <w:shd w:fill="071426"/>
          </w:tcPr>
          <w:p>
            <w:pPr>
              <w:pStyle w:val="Compact"/>
              <w:spacing w:after="40"/>
              <w:jc w:val="left"/>
            </w:pPr>
            <w:r>
              <w:rPr>
                <w:rFonts w:ascii="Calibri" w:hAnsi="Calibri" w:eastAsia="Calibri"/>
                <w:b/>
                <w:color w:val="FFFFFF"/>
                <w:sz w:val="18"/>
              </w:rPr>
              <w:t xml:space="preserve">Erlaubter Übergang</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Locked/Unprinted</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0</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0</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Produktion oder Rücknahme des Warrants</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Printed/Cold</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0</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0</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kontrollierter Transfer in Hot Inventory</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Issued/Hot</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Nominalwert</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0</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Umlauf, Rückgabe</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Returned/Pending</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gesperrt</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0</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Prüfung und Vernichtung</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Destroyed/Released</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0</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Nominalwert</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digitaler Transfer an Einzahler/Operator</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Disputed</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konservativ als P gezählt</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0</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Schieds-/Gerichtsverfahren</w:t>
            </w:r>
          </w:p>
        </w:tc>
      </w:tr>
    </w:tbl>
    <w:p>
      <w:pPr>
        <w:pStyle w:val="BodyText"/>
      </w:pPr>
      <w:r>
        <w:rPr>
          <w:rFonts w:ascii="Calibri" w:hAnsi="Calibri" w:eastAsia="Calibri"/>
        </w:rPr>
        <w:t xml:space="preserve">Der konservative Grundsatz lautet: Bei Unsicherheit bleibt der digitale Wert gesperrt. Dadurch kann ein Betriebsfehler Liquidität blockieren, aber keine zusätzlichen ΔΡΑΧ erzeugen.</w:t>
      </w:r>
    </w:p>
    <w:bookmarkEnd w:id="38"/>
    <w:bookmarkStart w:id="39" w:name="X907546bf1c18bad145240ca17e74846c80c14df"/>
    <w:p>
      <w:pPr>
        <w:pStyle w:val="Heading2"/>
      </w:pPr>
      <w:r>
        <w:rPr>
          <w:rFonts w:ascii="Calibri" w:hAnsi="Calibri" w:eastAsia="Calibri"/>
        </w:rPr>
        <w:t xml:space="preserve">4.4 Rollen</w:t>
      </w:r>
    </w:p>
    <w:p>
      <w:pPr>
        <w:pStyle w:val="Compact"/>
        <w:numPr>
          <w:ilvl w:val="0"/>
          <w:numId w:val="1010"/>
        </w:numPr>
      </w:pPr>
      <w:r>
        <w:rPr>
          <w:rFonts w:ascii="Calibri" w:hAnsi="Calibri" w:eastAsia="Calibri"/>
          <w:b/>
          <w:bCs/>
        </w:rPr>
        <w:t xml:space="preserve">Cash Utility:</w:t>
      </w:r>
      <w:r>
        <w:rPr>
          <w:rFonts w:ascii="Calibri" w:hAnsi="Calibri" w:eastAsia="Calibri"/>
        </w:rPr>
        <w:t xml:space="preserve"> </w:t>
      </w:r>
      <w:r>
        <w:rPr>
          <w:rFonts w:ascii="Calibri" w:hAnsi="Calibri" w:eastAsia="Calibri"/>
        </w:rPr>
        <w:t xml:space="preserve">gesetzlich definierter Koordinator, keine Zentralbank und ohne Mint-Recht;</w:t>
      </w:r>
    </w:p>
    <w:p>
      <w:pPr>
        <w:pStyle w:val="Compact"/>
        <w:numPr>
          <w:ilvl w:val="0"/>
          <w:numId w:val="1010"/>
        </w:numPr>
      </w:pPr>
      <w:r>
        <w:rPr>
          <w:rFonts w:ascii="Calibri" w:hAnsi="Calibri" w:eastAsia="Calibri"/>
          <w:b/>
          <w:bCs/>
        </w:rPr>
        <w:t xml:space="preserve">Druckerei/Münzstätte:</w:t>
      </w:r>
      <w:r>
        <w:rPr>
          <w:rFonts w:ascii="Calibri" w:hAnsi="Calibri" w:eastAsia="Calibri"/>
        </w:rPr>
        <w:t xml:space="preserve"> </w:t>
      </w:r>
      <w:r>
        <w:rPr>
          <w:rFonts w:ascii="Calibri" w:hAnsi="Calibri" w:eastAsia="Calibri"/>
        </w:rPr>
        <w:t xml:space="preserve">produziert nur gegen gültigen Warrant;</w:t>
      </w:r>
    </w:p>
    <w:p>
      <w:pPr>
        <w:pStyle w:val="Compact"/>
        <w:numPr>
          <w:ilvl w:val="0"/>
          <w:numId w:val="1010"/>
        </w:numPr>
      </w:pPr>
      <w:r>
        <w:rPr>
          <w:rFonts w:ascii="Calibri" w:hAnsi="Calibri" w:eastAsia="Calibri"/>
          <w:b/>
          <w:bCs/>
        </w:rPr>
        <w:t xml:space="preserve">Banken/Kioske/Häfen:</w:t>
      </w:r>
      <w:r>
        <w:rPr>
          <w:rFonts w:ascii="Calibri" w:hAnsi="Calibri" w:eastAsia="Calibri"/>
        </w:rPr>
        <w:t xml:space="preserve"> </w:t>
      </w:r>
      <w:r>
        <w:rPr>
          <w:rFonts w:ascii="Calibri" w:hAnsi="Calibri" w:eastAsia="Calibri"/>
        </w:rPr>
        <w:t xml:space="preserve">verteilen und nehmen zurück, mit Bond und Limits;</w:t>
      </w:r>
    </w:p>
    <w:p>
      <w:pPr>
        <w:pStyle w:val="Compact"/>
        <w:numPr>
          <w:ilvl w:val="0"/>
          <w:numId w:val="1010"/>
        </w:numPr>
      </w:pPr>
      <w:r>
        <w:rPr>
          <w:rFonts w:ascii="Calibri" w:hAnsi="Calibri" w:eastAsia="Calibri"/>
          <w:b/>
          <w:bCs/>
        </w:rPr>
        <w:t xml:space="preserve">Cash Auditor:</w:t>
      </w:r>
      <w:r>
        <w:rPr>
          <w:rFonts w:ascii="Calibri" w:hAnsi="Calibri" w:eastAsia="Calibri"/>
        </w:rPr>
        <w:t xml:space="preserve"> </w:t>
      </w:r>
      <w:r>
        <w:rPr>
          <w:rFonts w:ascii="Calibri" w:hAnsi="Calibri" w:eastAsia="Calibri"/>
        </w:rPr>
        <w:t xml:space="preserve">prüft Bestände, Serienregister, Vernichtung und on-chain Deckung;</w:t>
      </w:r>
    </w:p>
    <w:p>
      <w:pPr>
        <w:pStyle w:val="Compact"/>
        <w:numPr>
          <w:ilvl w:val="0"/>
          <w:numId w:val="1010"/>
        </w:numPr>
      </w:pPr>
      <w:r>
        <w:rPr>
          <w:rFonts w:ascii="Calibri" w:hAnsi="Calibri" w:eastAsia="Calibri"/>
          <w:b/>
          <w:bCs/>
        </w:rPr>
        <w:t xml:space="preserve">Gerichte/Schiedsstellen:</w:t>
      </w:r>
      <w:r>
        <w:rPr>
          <w:rFonts w:ascii="Calibri" w:hAnsi="Calibri" w:eastAsia="Calibri"/>
        </w:rPr>
        <w:t xml:space="preserve"> </w:t>
      </w:r>
      <w:r>
        <w:rPr>
          <w:rFonts w:ascii="Calibri" w:hAnsi="Calibri" w:eastAsia="Calibri"/>
        </w:rPr>
        <w:t xml:space="preserve">entscheiden Eigentums- und Betrugsfälle, können aber nicht die Gesamtmenge ändern.</w:t>
      </w:r>
    </w:p>
    <w:bookmarkEnd w:id="39"/>
    <w:bookmarkStart w:id="40" w:name="X0d2a901e38874bdf80d8c9ca665ac178739ca32"/>
    <w:p>
      <w:pPr>
        <w:pStyle w:val="Heading2"/>
      </w:pPr>
      <w:r>
        <w:rPr>
          <w:rFonts w:ascii="Calibri" w:hAnsi="Calibri" w:eastAsia="Calibri"/>
        </w:rPr>
        <w:t xml:space="preserve">4.5 Sicherheitsmerkmale</w:t>
      </w:r>
    </w:p>
    <w:p>
      <w:pPr>
        <w:pStyle w:val="FirstParagraph"/>
      </w:pPr>
      <w:r>
        <w:rPr>
          <w:rFonts w:ascii="Calibri" w:hAnsi="Calibri" w:eastAsia="Calibri"/>
        </w:rPr>
        <w:t xml:space="preserve">Banknoten verwenden Baumwoll-/Polymermaterial nach Lebenszyklustest, Tiefdruck, taktile Merkmale, Fenster-/Fadenstruktur, UV/IR-Merkmale, Mikrotext und maschinenlesbare Serienbindungen. Münzen verwenden differenzierte Legierungen, Randprägung, elektromagnetische Signatur und maschinenlesbare Batchmerkmale. QR/NFC enthält keine personenbezogenen Daten und keinen frei kopierbaren Zahlungswert, sondern nur öffentliche Serien-/Batchinformationen und Prüfdaten.</w:t>
      </w:r>
    </w:p>
    <w:bookmarkEnd w:id="40"/>
    <w:bookmarkStart w:id="41" w:name="X787bed1e229ab96be2097745553efe73a558c97"/>
    <w:p>
      <w:pPr>
        <w:pStyle w:val="Heading2"/>
      </w:pPr>
      <w:r>
        <w:rPr>
          <w:rFonts w:ascii="Calibri" w:hAnsi="Calibri" w:eastAsia="Calibri"/>
        </w:rPr>
        <w:t xml:space="preserve">4.6 Datenschutz und Bargeldähnlichkeit</w:t>
      </w:r>
    </w:p>
    <w:p>
      <w:pPr>
        <w:pStyle w:val="FirstParagraph"/>
      </w:pPr>
      <w:r>
        <w:rPr>
          <w:rFonts w:ascii="Calibri" w:hAnsi="Calibri" w:eastAsia="Calibri"/>
        </w:rPr>
        <w:t xml:space="preserve">Die Öffentlichkeit sieht, ob eine Serie gültig, zurückgerufen oder vernichtet ist, nicht wer sie hält oder wann sie den Besitzer gewechselt hat. Serienabfragen dürfen nicht zu einem zentralen Bewegungsprofil werden. Online-Prüfdienste werden gecacht, gespiegelt und mit Privacy Budgets versehen. Für kleine Bargeldzahlungen gilt die gesetzliche Bargeldlogik; Banken und Cash Agents erfüllen KYC/AML bei Ausgabe, Rücknahme und verdächtigen Mustern.</w:t>
      </w:r>
    </w:p>
    <w:bookmarkEnd w:id="41"/>
    <w:bookmarkStart w:id="42" w:name="X490f4eb082090c9bcc64faea9862ed41af90338"/>
    <w:p>
      <w:pPr>
        <w:pStyle w:val="Heading2"/>
      </w:pPr>
      <w:r>
        <w:rPr>
          <w:rFonts w:ascii="Calibri" w:hAnsi="Calibri" w:eastAsia="Calibri"/>
        </w:rPr>
        <w:t xml:space="preserve">4.7 Verlust, Beschädigung und Fälschung</w:t>
      </w:r>
    </w:p>
    <w:p>
      <w:pPr>
        <w:pStyle w:val="FirstParagraph"/>
      </w:pPr>
      <w:r>
        <w:rPr>
          <w:rFonts w:ascii="Calibri" w:hAnsi="Calibri" w:eastAsia="Calibri"/>
        </w:rPr>
        <w:t xml:space="preserve">Verlorene Bearer Notes werden grundsätzlich nicht ersetzt, weil sonst Doppelausgabe möglich wäre. Bei klar identifizierbaren beschädigten Trägern kann nach Quorum-Prüfung, Wartefrist und öffentlicher Serien-Sperre Ersatz erfolgen. Fälschungen begründen keinen ΔΡΑΧ-Anspruch; Opferentschädigung erfolgt allenfalls aus einem begrenzten Versicherungsfonds und erzeugt keine neue Geldmenge.</w:t>
      </w:r>
    </w:p>
    <w:p>
      <w:pPr>
        <w:pStyle w:val="BodyText"/>
      </w:pPr>
      <w:r>
        <w:rPr>
          <w:rFonts w:ascii="Calibri" w:hAnsi="Calibri" w:eastAsia="Calibri"/>
        </w:rPr>
        <w:br w:type="page"/>
      </w:r>
    </w:p>
    <w:bookmarkEnd w:id="42"/>
    <w:bookmarkEnd w:id="43"/>
    <w:bookmarkStart w:id="48" w:name="X77eab1e59c36cc997e7fc03eb7ff00d1875dc2c"/>
    <w:p>
      <w:pPr>
        <w:pStyle w:val="Heading1"/>
      </w:pPr>
      <w:r>
        <w:rPr>
          <w:rFonts w:ascii="Calibri" w:hAnsi="Calibri" w:eastAsia="Calibri"/>
        </w:rPr>
        <w:t xml:space="preserve">5. Offline-Zahlungen</w:t>
      </w:r>
    </w:p>
    <w:bookmarkStart w:id="44" w:name="Xd9d81d5902a9ebfe313b2be62a3c83499ea11e4"/>
    <w:p>
      <w:pPr>
        <w:pStyle w:val="Heading2"/>
      </w:pPr>
      <w:r>
        <w:rPr>
          <w:rFonts w:ascii="Calibri" w:hAnsi="Calibri" w:eastAsia="Calibri"/>
        </w:rPr>
        <w:t xml:space="preserve">5.1 Realistische Sicherheitsdefinition</w:t>
      </w:r>
    </w:p>
    <w:p>
      <w:pPr>
        <w:pStyle w:val="FirstParagraph"/>
      </w:pPr>
      <w:r>
        <w:rPr>
          <w:rFonts w:ascii="Calibri" w:hAnsi="Calibri" w:eastAsia="Calibri"/>
        </w:rPr>
        <w:t xml:space="preserve">Eine Zahlung ohne Verbindung zur Kette kann nicht gleichzeitig global final, unbegrenzt, anonym und double-spend-sicher sein. ΔΡΑΧ verwendet deshalb</w:t>
      </w:r>
      <w:r>
        <w:rPr>
          <w:rFonts w:ascii="Calibri" w:hAnsi="Calibri" w:eastAsia="Calibri"/>
        </w:rPr>
        <w:t xml:space="preserve"> </w:t>
      </w:r>
      <w:r>
        <w:rPr>
          <w:rFonts w:ascii="Calibri" w:hAnsi="Calibri" w:eastAsia="Calibri"/>
          <w:b/>
          <w:bCs/>
        </w:rPr>
        <w:t xml:space="preserve">vorfinanzierten, begrenzten Offline-Wert</w:t>
      </w:r>
      <w:r>
        <w:rPr>
          <w:rFonts w:ascii="Calibri" w:hAnsi="Calibri" w:eastAsia="Calibri"/>
        </w:rPr>
        <w:t xml:space="preserve">. Der Nutzer sperrt online einen Betrag in einem OfflineLock. Ein zertifiziertes Secure Element verwaltet lokale Einmalzähler, Gerätezertifikate und signierte Übergaben.</w:t>
      </w:r>
    </w:p>
    <w:bookmarkEnd w:id="44"/>
    <w:bookmarkStart w:id="45" w:name="Xf3d4a8e3c5abf425347771fb372f9ca50b2c757"/>
    <w:p>
      <w:pPr>
        <w:pStyle w:val="Heading2"/>
      </w:pPr>
      <w:r>
        <w:rPr>
          <w:rFonts w:ascii="Calibri" w:hAnsi="Calibri" w:eastAsia="Calibri"/>
        </w:rPr>
        <w:t xml:space="preserve">5.2 Limits für den Pilot</w:t>
      </w:r>
    </w:p>
    <w:p>
      <w:pPr>
        <w:pStyle w:val="Compact"/>
        <w:numPr>
          <w:ilvl w:val="0"/>
          <w:numId w:val="1011"/>
        </w:numPr>
      </w:pPr>
      <w:r>
        <w:rPr>
          <w:rFonts w:ascii="Calibri" w:hAnsi="Calibri" w:eastAsia="Calibri"/>
        </w:rPr>
        <w:t xml:space="preserve">maximal 150 ΔΡΑΧ je Gerät;</w:t>
      </w:r>
    </w:p>
    <w:p>
      <w:pPr>
        <w:pStyle w:val="Compact"/>
        <w:numPr>
          <w:ilvl w:val="0"/>
          <w:numId w:val="1011"/>
        </w:numPr>
      </w:pPr>
      <w:r>
        <w:rPr>
          <w:rFonts w:ascii="Calibri" w:hAnsi="Calibri" w:eastAsia="Calibri"/>
        </w:rPr>
        <w:t xml:space="preserve">maximal 50 ΔΡΑΧ je Zahlung;</w:t>
      </w:r>
    </w:p>
    <w:p>
      <w:pPr>
        <w:pStyle w:val="Compact"/>
        <w:numPr>
          <w:ilvl w:val="0"/>
          <w:numId w:val="1011"/>
        </w:numPr>
      </w:pPr>
      <w:r>
        <w:rPr>
          <w:rFonts w:ascii="Calibri" w:hAnsi="Calibri" w:eastAsia="Calibri"/>
        </w:rPr>
        <w:t xml:space="preserve">maximal drei Offline-Hops;</w:t>
      </w:r>
    </w:p>
    <w:p>
      <w:pPr>
        <w:pStyle w:val="Compact"/>
        <w:numPr>
          <w:ilvl w:val="0"/>
          <w:numId w:val="1011"/>
        </w:numPr>
      </w:pPr>
      <w:r>
        <w:rPr>
          <w:rFonts w:ascii="Calibri" w:hAnsi="Calibri" w:eastAsia="Calibri"/>
        </w:rPr>
        <w:t xml:space="preserve">Online-Synchronisation spätestens nach 72 Stunden;</w:t>
      </w:r>
    </w:p>
    <w:p>
      <w:pPr>
        <w:pStyle w:val="Compact"/>
        <w:numPr>
          <w:ilvl w:val="0"/>
          <w:numId w:val="1011"/>
        </w:numPr>
      </w:pPr>
      <w:r>
        <w:rPr>
          <w:rFonts w:ascii="Calibri" w:hAnsi="Calibri" w:eastAsia="Calibri"/>
        </w:rPr>
        <w:t xml:space="preserve">Händler-Risikolimit je Gerät und Tag;</w:t>
      </w:r>
    </w:p>
    <w:p>
      <w:pPr>
        <w:pStyle w:val="Compact"/>
        <w:numPr>
          <w:ilvl w:val="0"/>
          <w:numId w:val="1011"/>
        </w:numPr>
      </w:pPr>
      <w:r>
        <w:rPr>
          <w:rFonts w:ascii="Calibri" w:hAnsi="Calibri" w:eastAsia="Calibri"/>
        </w:rPr>
        <w:t xml:space="preserve">höhere Limits nur mit zusätzlicher Haftung/Bond, nicht durch weichere Kryptographie.</w:t>
      </w:r>
    </w:p>
    <w:p>
      <w:pPr>
        <w:pStyle w:val="FirstParagraph"/>
      </w:pPr>
      <w:r>
        <w:rPr>
          <w:rFonts w:ascii="Calibri" w:hAnsi="Calibri" w:eastAsia="Calibri"/>
        </w:rPr>
        <w:t xml:space="preserve">Diese Werte sind Testparameter. Inseln und Fähren sind geeignete Laborumgebungen, weil zeitweise Konnektivitätslücken real sind und die Rückkehr ins Netz planbar bleibt.</w:t>
      </w:r>
    </w:p>
    <w:bookmarkEnd w:id="45"/>
    <w:bookmarkStart w:id="46" w:name="X364a50ab369466916bdbee2d821ed133fdd7191"/>
    <w:p>
      <w:pPr>
        <w:pStyle w:val="Heading2"/>
      </w:pPr>
      <w:r>
        <w:rPr>
          <w:rFonts w:ascii="Calibri" w:hAnsi="Calibri" w:eastAsia="Calibri"/>
        </w:rPr>
        <w:t xml:space="preserve">5.3 Abrechnung</w:t>
      </w:r>
    </w:p>
    <w:p>
      <w:pPr>
        <w:pStyle w:val="FirstParagraph"/>
      </w:pPr>
      <w:r>
        <w:rPr>
          <w:rFonts w:ascii="Calibri" w:hAnsi="Calibri" w:eastAsia="Calibri"/>
        </w:rPr>
        <w:t xml:space="preserve">Beim nächsten Netzaufbau werden signierte Transferketten eingereicht. Konflikte werden nach Zeitstempel-/Counterregeln und Gerätehaftung verarbeitet. Der Empfänger erhält keine falsche Zusage sofortiger on-chain Finalität; Wallets kennzeichnen Offline-Eingänge bis zur Abrechnung als risikobehaftet.</w:t>
      </w:r>
    </w:p>
    <w:bookmarkEnd w:id="46"/>
    <w:bookmarkStart w:id="47" w:name="Xd2c3ae960712563aa77af7c50892282312b5a51"/>
    <w:p>
      <w:pPr>
        <w:pStyle w:val="Heading2"/>
      </w:pPr>
      <w:r>
        <w:rPr>
          <w:rFonts w:ascii="Calibri" w:hAnsi="Calibri" w:eastAsia="Calibri"/>
        </w:rPr>
        <w:t xml:space="preserve">5.4 Lieferkettenrisiko</w:t>
      </w:r>
    </w:p>
    <w:p>
      <w:pPr>
        <w:pStyle w:val="FirstParagraph"/>
      </w:pPr>
      <w:r>
        <w:rPr>
          <w:rFonts w:ascii="Calibri" w:hAnsi="Calibri" w:eastAsia="Calibri"/>
        </w:rPr>
        <w:t xml:space="preserve">Secure Elements verlagern Vertrauen auf Chip-Hersteller, Betriebssysteme, Zertifizierungsstellen und Provisioning. Phase 0 verlangt mindestens zwei Lieferanten, offene Protokollspezifikation, Remote-Attestation-Audit, Schlüsselrotationsverfahren und eine Funktionsalternative über physisches Bargeld. Ein kompromittierter Hersteller darf weder Mmax noch on-chain Bestände verändern können; sein Schaden bleibt auf Offline-Limits begrenzt.</w:t>
      </w:r>
    </w:p>
    <w:p>
      <w:pPr>
        <w:pStyle w:val="BodyText"/>
      </w:pPr>
      <w:r>
        <w:rPr>
          <w:rFonts w:ascii="Calibri" w:hAnsi="Calibri" w:eastAsia="Calibri"/>
        </w:rPr>
        <w:br w:type="page"/>
      </w:r>
    </w:p>
    <w:bookmarkEnd w:id="47"/>
    <w:bookmarkEnd w:id="48"/>
    <w:bookmarkStart w:id="54" w:name="X32981950fa8358ff7d00fb13f1e940288eab6f0"/>
    <w:p>
      <w:pPr>
        <w:pStyle w:val="Heading1"/>
      </w:pPr>
      <w:r>
        <w:rPr>
          <w:rFonts w:ascii="Calibri" w:hAnsi="Calibri" w:eastAsia="Calibri"/>
        </w:rPr>
        <w:t xml:space="preserve">6. Banken-, Kredit- und Liquiditätsordnung</w:t>
      </w:r>
    </w:p>
    <w:bookmarkStart w:id="49" w:name="X46bc36e55f14eca21c48f971e930a8231647c0d"/>
    <w:p>
      <w:pPr>
        <w:pStyle w:val="Heading2"/>
      </w:pPr>
      <w:r>
        <w:rPr>
          <w:rFonts w:ascii="Calibri" w:hAnsi="Calibri" w:eastAsia="Calibri"/>
        </w:rPr>
        <w:t xml:space="preserve">6.1 Zahlungskonten</w:t>
      </w:r>
    </w:p>
    <w:p>
      <w:pPr>
        <w:pStyle w:val="FirstParagraph"/>
      </w:pPr>
      <w:r>
        <w:rPr>
          <w:rFonts w:ascii="Calibri" w:hAnsi="Calibri" w:eastAsia="Calibri"/>
        </w:rPr>
        <w:t xml:space="preserve">Verwahrte Transaktionsguthaben werden zu 100 % in ΔΡΑΧ gehalten und täglich öffentlich attestiert. Kundenguthaben sind insolvenzfestes Sondervermögen. Die Bank darf diese Einheiten nicht verleihen oder verpfänden. Self-Custody bleibt gleichberechtigter Ausweg.</w:t>
      </w:r>
    </w:p>
    <w:bookmarkEnd w:id="49"/>
    <w:bookmarkStart w:id="50" w:name="X8a045ffd2555c1663c93d4c3fb93a0ffab99fd8"/>
    <w:p>
      <w:pPr>
        <w:pStyle w:val="Heading2"/>
      </w:pPr>
      <w:r>
        <w:rPr>
          <w:rFonts w:ascii="Calibri" w:hAnsi="Calibri" w:eastAsia="Calibri"/>
        </w:rPr>
        <w:t xml:space="preserve">6.2 Kredit</w:t>
      </w:r>
    </w:p>
    <w:p>
      <w:pPr>
        <w:pStyle w:val="FirstParagraph"/>
      </w:pPr>
      <w:r>
        <w:rPr>
          <w:rFonts w:ascii="Calibri" w:hAnsi="Calibri" w:eastAsia="Calibri"/>
        </w:rPr>
        <w:t xml:space="preserve">Kredit entsteht aus ausdrücklich gebundenem Laufzeitkapital: Termineinlagen, Anleihen, Eigenkapital, Investmentfonds und Peer-to-Peer-Kreditpools. Ein Anleger sieht Laufzeit, Liquiditätsrisiko und Verlusttragfähigkeit. Ein Kreditvertrag schafft eine Forderung, aber keine neue ΔΡΑΧ-Einheit.</w:t>
      </w:r>
    </w:p>
    <w:bookmarkEnd w:id="50"/>
    <w:bookmarkStart w:id="51" w:name="X5191285e379c01b8447e6197ffd4413b260c258"/>
    <w:p>
      <w:pPr>
        <w:pStyle w:val="Heading2"/>
      </w:pPr>
      <w:r>
        <w:rPr>
          <w:rFonts w:ascii="Calibri" w:hAnsi="Calibri" w:eastAsia="Calibri"/>
        </w:rPr>
        <w:t xml:space="preserve">6.3 Kein unlimitierter Lender of Last Resort</w:t>
      </w:r>
    </w:p>
    <w:p>
      <w:pPr>
        <w:pStyle w:val="FirstParagraph"/>
      </w:pPr>
      <w:r>
        <w:rPr>
          <w:rFonts w:ascii="Calibri" w:hAnsi="Calibri" w:eastAsia="Calibri"/>
        </w:rPr>
        <w:t xml:space="preserve">Die harte Geldmenge schließt unbegrenzte Notfallprägung aus. Ersatzmechanismen sind:</w:t>
      </w:r>
    </w:p>
    <w:p>
      <w:pPr>
        <w:pStyle w:val="Compact"/>
        <w:numPr>
          <w:ilvl w:val="0"/>
          <w:numId w:val="1012"/>
        </w:numPr>
      </w:pPr>
      <w:r>
        <w:rPr>
          <w:rFonts w:ascii="Calibri" w:hAnsi="Calibri" w:eastAsia="Calibri"/>
        </w:rPr>
        <w:t xml:space="preserve">100%-Reserve für Zahlungsverkehr;</w:t>
      </w:r>
    </w:p>
    <w:p>
      <w:pPr>
        <w:pStyle w:val="Compact"/>
        <w:numPr>
          <w:ilvl w:val="0"/>
          <w:numId w:val="1012"/>
        </w:numPr>
      </w:pPr>
      <w:r>
        <w:rPr>
          <w:rFonts w:ascii="Calibri" w:hAnsi="Calibri" w:eastAsia="Calibri"/>
        </w:rPr>
        <w:t xml:space="preserve">vorfinanzierter Einlagensicherungsfonds;</w:t>
      </w:r>
    </w:p>
    <w:p>
      <w:pPr>
        <w:pStyle w:val="Compact"/>
        <w:numPr>
          <w:ilvl w:val="0"/>
          <w:numId w:val="1012"/>
        </w:numPr>
      </w:pPr>
      <w:r>
        <w:rPr>
          <w:rFonts w:ascii="Calibri" w:hAnsi="Calibri" w:eastAsia="Calibri"/>
        </w:rPr>
        <w:t xml:space="preserve">Liquiditätsauktionen aus bereits existierenden Treasury-Beständen;</w:t>
      </w:r>
    </w:p>
    <w:p>
      <w:pPr>
        <w:pStyle w:val="Compact"/>
        <w:numPr>
          <w:ilvl w:val="0"/>
          <w:numId w:val="1012"/>
        </w:numPr>
      </w:pPr>
      <w:r>
        <w:rPr>
          <w:rFonts w:ascii="Calibri" w:hAnsi="Calibri" w:eastAsia="Calibri"/>
        </w:rPr>
        <w:t xml:space="preserve">Bail-in-fähige Laufzeitverbindlichkeiten;</w:t>
      </w:r>
    </w:p>
    <w:p>
      <w:pPr>
        <w:pStyle w:val="Compact"/>
        <w:numPr>
          <w:ilvl w:val="0"/>
          <w:numId w:val="1012"/>
        </w:numPr>
      </w:pPr>
      <w:r>
        <w:rPr>
          <w:rFonts w:ascii="Calibri" w:hAnsi="Calibri" w:eastAsia="Calibri"/>
        </w:rPr>
        <w:t xml:space="preserve">schnelle, geordnete Abwicklung insolventer Institute;</w:t>
      </w:r>
    </w:p>
    <w:p>
      <w:pPr>
        <w:pStyle w:val="Compact"/>
        <w:numPr>
          <w:ilvl w:val="0"/>
          <w:numId w:val="1012"/>
        </w:numPr>
      </w:pPr>
      <w:r>
        <w:rPr>
          <w:rFonts w:ascii="Calibri" w:hAnsi="Calibri" w:eastAsia="Calibri"/>
        </w:rPr>
        <w:t xml:space="preserve">zeitlich begrenzte Marktunterbrechungen nur an regulierten Handelsplätzen, nicht im ΔΡΑΧ-Kern.</w:t>
      </w:r>
    </w:p>
    <w:p>
      <w:pPr>
        <w:pStyle w:val="FirstParagraph"/>
      </w:pPr>
      <w:r>
        <w:rPr>
          <w:rFonts w:ascii="Calibri" w:hAnsi="Calibri" w:eastAsia="Calibri"/>
        </w:rPr>
        <w:t xml:space="preserve">Der Fonds wird im Pilot mit 2 %, 4 % und 8 % der verwahrten Zahlungsguthaben stresstested. Eine gesetzliche Garantie ohne vorab finanzierte Deckung wäre mit der Geldverfassung unvereinbar.</w:t>
      </w:r>
    </w:p>
    <w:bookmarkEnd w:id="51"/>
    <w:bookmarkStart w:id="52" w:name="X63e99d3babf9fb916032c8358c5484137d2e4bc"/>
    <w:p>
      <w:pPr>
        <w:pStyle w:val="Heading2"/>
      </w:pPr>
      <w:r>
        <w:rPr>
          <w:rFonts w:ascii="Calibri" w:hAnsi="Calibri" w:eastAsia="Calibri"/>
        </w:rPr>
        <w:t xml:space="preserve">6.4 Makroökonomische Konsequenzen</w:t>
      </w:r>
    </w:p>
    <w:p>
      <w:pPr>
        <w:pStyle w:val="FirstParagraph"/>
      </w:pPr>
      <w:r>
        <w:rPr>
          <w:rFonts w:ascii="Calibri" w:hAnsi="Calibri" w:eastAsia="Calibri"/>
        </w:rPr>
        <w:t xml:space="preserve">Narrow Banking reduziert Runs auf Zahlungskonten, kann aber Kredit verteuern und Schattenbanken fördern. Eine fixe Geldmenge kann bei Produktivitätswachstum deflationär wirken, reale Schuldenlast erhöhen und Investitionen verschieben. Das Dossier behauptet keine automatische Wohlstandssteigerung. Vor einem souveränen Start sind mindestens folgende Modelle nötig:</w:t>
      </w:r>
    </w:p>
    <w:p>
      <w:pPr>
        <w:pStyle w:val="Compact"/>
        <w:numPr>
          <w:ilvl w:val="0"/>
          <w:numId w:val="1013"/>
        </w:numPr>
      </w:pPr>
      <w:r>
        <w:rPr>
          <w:rFonts w:ascii="Calibri" w:hAnsi="Calibri" w:eastAsia="Calibri"/>
        </w:rPr>
        <w:t xml:space="preserve">30-, 50- und 70-prozentiger Einbruch externer Nachfrage;</w:t>
      </w:r>
    </w:p>
    <w:p>
      <w:pPr>
        <w:pStyle w:val="Compact"/>
        <w:numPr>
          <w:ilvl w:val="0"/>
          <w:numId w:val="1013"/>
        </w:numPr>
      </w:pPr>
      <w:r>
        <w:rPr>
          <w:rFonts w:ascii="Calibri" w:hAnsi="Calibri" w:eastAsia="Calibri"/>
        </w:rPr>
        <w:t xml:space="preserve">20-prozentige Aufwertung und Abwertung gegenüber EUR innerhalb von 30 Tagen;</w:t>
      </w:r>
    </w:p>
    <w:p>
      <w:pPr>
        <w:pStyle w:val="Compact"/>
        <w:numPr>
          <w:ilvl w:val="0"/>
          <w:numId w:val="1013"/>
        </w:numPr>
      </w:pPr>
      <w:r>
        <w:rPr>
          <w:rFonts w:ascii="Calibri" w:hAnsi="Calibri" w:eastAsia="Calibri"/>
        </w:rPr>
        <w:t xml:space="preserve">gleichzeitiger Run auf Laufzeitfonds und Rückgang der Steuerzahlungen;</w:t>
      </w:r>
    </w:p>
    <w:p>
      <w:pPr>
        <w:pStyle w:val="Compact"/>
        <w:numPr>
          <w:ilvl w:val="0"/>
          <w:numId w:val="1013"/>
        </w:numPr>
      </w:pPr>
      <w:r>
        <w:rPr>
          <w:rFonts w:ascii="Calibri" w:hAnsi="Calibri" w:eastAsia="Calibri"/>
        </w:rPr>
        <w:t xml:space="preserve">Ausfall eines systemischen Custodians;</w:t>
      </w:r>
    </w:p>
    <w:p>
      <w:pPr>
        <w:pStyle w:val="Compact"/>
        <w:numPr>
          <w:ilvl w:val="0"/>
          <w:numId w:val="1013"/>
        </w:numPr>
      </w:pPr>
      <w:r>
        <w:rPr>
          <w:rFonts w:ascii="Calibri" w:hAnsi="Calibri" w:eastAsia="Calibri"/>
        </w:rPr>
        <w:t xml:space="preserve">KAS-Gebührenschock und Kaspa-Reorganisation;</w:t>
      </w:r>
    </w:p>
    <w:p>
      <w:pPr>
        <w:pStyle w:val="Compact"/>
        <w:numPr>
          <w:ilvl w:val="0"/>
          <w:numId w:val="1013"/>
        </w:numPr>
      </w:pPr>
      <w:r>
        <w:rPr>
          <w:rFonts w:ascii="Calibri" w:hAnsi="Calibri" w:eastAsia="Calibri"/>
        </w:rPr>
        <w:t xml:space="preserve">Bargeldhortung von 15 % der zirkulierenden Menge.</w:t>
      </w:r>
    </w:p>
    <w:bookmarkEnd w:id="52"/>
    <w:bookmarkStart w:id="53" w:name="Xa8a268b63d23b72140e8ec936c188778f1e869f"/>
    <w:p>
      <w:pPr>
        <w:pStyle w:val="Heading2"/>
      </w:pPr>
      <w:r>
        <w:rPr>
          <w:rFonts w:ascii="Calibri" w:hAnsi="Calibri" w:eastAsia="Calibri"/>
        </w:rPr>
        <w:t xml:space="preserve">6.5 Staatsfinanzierung</w:t>
      </w:r>
    </w:p>
    <w:p>
      <w:pPr>
        <w:pStyle w:val="FirstParagraph"/>
      </w:pPr>
      <w:r>
        <w:rPr>
          <w:rFonts w:ascii="Calibri" w:hAnsi="Calibri" w:eastAsia="Calibri"/>
        </w:rPr>
        <w:t xml:space="preserve">Der Staat darf Defizite nicht durch ΔΡΑΧ-Prägung finanzieren. Er kann im souveränen Szenario Steuern in ΔΡΑΧ erheben und aus vorhandenen Beständen zahlen. Schuldenaufnahme erfolgt transparent am Kapitalmarkt und trägt Wechselkurs-, Laufzeit- und Ausfallrisiko. In Phase 0 und einem Eurozonen-Pilot nimmt der Staat keine ΔΡΑΧ-Schulden auf.</w:t>
      </w:r>
    </w:p>
    <w:p>
      <w:pPr>
        <w:pStyle w:val="BodyText"/>
      </w:pPr>
      <w:r>
        <w:rPr>
          <w:rFonts w:ascii="Calibri" w:hAnsi="Calibri" w:eastAsia="Calibri"/>
        </w:rPr>
        <w:br w:type="page"/>
      </w:r>
    </w:p>
    <w:bookmarkEnd w:id="53"/>
    <w:bookmarkEnd w:id="54"/>
    <w:bookmarkStart w:id="60" w:name="X7ec9a230eece1422cb79a979e1799ae0de4b2ce"/>
    <w:p>
      <w:pPr>
        <w:pStyle w:val="Heading1"/>
      </w:pPr>
      <w:r>
        <w:rPr>
          <w:rFonts w:ascii="Calibri" w:hAnsi="Calibri" w:eastAsia="Calibri"/>
        </w:rPr>
        <w:t xml:space="preserve">7. Governance und Genesis-Sunset</w:t>
      </w:r>
    </w:p>
    <w:bookmarkStart w:id="55" w:name="Xe1b70acda40580ef6a2faca278e56b7d2c00fb4"/>
    <w:p>
      <w:pPr>
        <w:pStyle w:val="Heading2"/>
      </w:pPr>
      <w:r>
        <w:rPr>
          <w:rFonts w:ascii="Calibri" w:hAnsi="Calibri" w:eastAsia="Calibri"/>
        </w:rPr>
        <w:t xml:space="preserve">7.1 Prinzip</w:t>
      </w:r>
    </w:p>
    <w:p>
      <w:pPr>
        <w:pStyle w:val="FirstParagraph"/>
      </w:pPr>
      <w:r>
        <w:rPr>
          <w:rFonts w:ascii="Calibri" w:hAnsi="Calibri" w:eastAsia="Calibri"/>
        </w:rPr>
        <w:t xml:space="preserve">Dezentralität wird nicht durch eine DAO-Bezeichnung erzeugt, sondern durch das Entfernen bestimmter Befugnisse. Die Governance darf nach Sunset Parameter für Dienste, Limits und Listen vorschlagen, aber keine Geldmenge erhöhen, Self-Custody-Bestände einfrieren, die Fiat-Unabhängigkeit aufheben oder die Cash-Deckungsinvariante umgehen.</w:t>
      </w:r>
    </w:p>
    <w:bookmarkEnd w:id="55"/>
    <w:bookmarkStart w:id="56" w:name="X18d15f45eec8560dbb6f84d4c95b7475125514b"/>
    <w:p>
      <w:pPr>
        <w:pStyle w:val="Heading2"/>
      </w:pPr>
      <w:r>
        <w:rPr>
          <w:rFonts w:ascii="Calibri" w:hAnsi="Calibri" w:eastAsia="Calibri"/>
        </w:rPr>
        <w:t xml:space="preserve">7.2 Genesis Steward</w:t>
      </w:r>
    </w:p>
    <w:p>
      <w:pPr>
        <w:pStyle w:val="FirstParagraph"/>
      </w:pPr>
      <w:r>
        <w:rPr>
          <w:rFonts w:ascii="Calibri" w:hAnsi="Calibri" w:eastAsia="Calibri"/>
          <w:b/>
          <w:bCs/>
        </w:rPr>
        <w:t xml:space="preserve">Mandatstext:</w:t>
      </w:r>
    </w:p>
    <w:p>
      <w:pPr>
        <w:pStyle w:val="BlockText"/>
      </w:pPr>
      <w:r>
        <w:rPr>
          <w:rFonts w:ascii="Calibri" w:hAnsi="Calibri" w:eastAsia="Calibri"/>
        </w:rPr>
        <w:t xml:space="preserve">Der Genesis Steward darf bis zum Sunset ausschließlich die in der Genesis-Spezifikation benannten Deployment-, Test-, Registrierungs- und Übergabehandlungen ausführen. Er darf keine ΔΡΑΧ außerhalb des kodierten Genesis- und Security-Korridors erzeugen, keine fremden Bearer Outputs beschlagnahmen, keine nachträgliche Blacklist einführen und keinen Sunset verschieben. Jede privilegierte Handlung ist öffentlich, zeitverzögert und widerrufbar. Mit Ablauf des Sunset erlöschen die Schlüsselrechte technisch; ein Gesetz oder Governance-Beschluss kann sie nicht reaktivieren, ohne ein neues, freiwillig zu übernehmendes System zu schaffen.</w:t>
      </w:r>
    </w:p>
    <w:bookmarkEnd w:id="56"/>
    <w:bookmarkStart w:id="57" w:name="X5bb51058bb52e2b578c32067ceedd9b635a4170"/>
    <w:p>
      <w:pPr>
        <w:pStyle w:val="Heading2"/>
      </w:pPr>
      <w:r>
        <w:rPr>
          <w:rFonts w:ascii="Calibri" w:hAnsi="Calibri" w:eastAsia="Calibri"/>
        </w:rPr>
        <w:t xml:space="preserve">7.3 Zeitplan</w:t>
      </w:r>
    </w:p>
    <w:tbl>
      <w:tblPr>
        <w:tblStyle w:val="Table"/>
        <w:tblW w:type="auto" w:w="0"/>
        <w:jc w:val="center"/>
        <w:tblLayout w:type="autofit"/>
        <w:tblLook w:firstRow="1" w:lastRow="0" w:firstColumn="0" w:lastColumn="0" w:noHBand="0" w:noVBand="0" w:val="0020"/>
      </w:tblPr>
      <w:tblGrid>
        <w:gridCol w:w="2640"/>
        <w:gridCol w:w="2640"/>
        <w:gridCol w:w="2640"/>
      </w:tblGrid>
      <w:tr>
        <w:trPr>
          <w:tblHeader w:val="on"/>
        </w:trPr>
        <w:tc>
          <w:tcPr>
            <w:vAlign w:val="center"/>
            <w:tcMar>
              <w:top w:w="90" w:type="dxa"/>
              <w:start w:w="110" w:type="dxa"/>
              <w:bottom w:w="90" w:type="dxa"/>
              <w:end w:w="110" w:type="dxa"/>
            </w:tcMar>
            <w:shd w:fill="071426"/>
          </w:tcPr>
          <w:p>
            <w:pPr>
              <w:pStyle w:val="Compact"/>
              <w:spacing w:after="40"/>
              <w:jc w:val="left"/>
            </w:pPr>
            <w:r>
              <w:rPr>
                <w:rFonts w:ascii="Calibri" w:hAnsi="Calibri" w:eastAsia="Calibri"/>
                <w:b/>
                <w:color w:val="FFFFFF"/>
                <w:sz w:val="18"/>
              </w:rPr>
              <w:t xml:space="preserve">Zeitpunkt</w:t>
            </w:r>
          </w:p>
        </w:tc>
        <w:tc>
          <w:tcPr>
            <w:vAlign w:val="center"/>
            <w:tcMar>
              <w:top w:w="90" w:type="dxa"/>
              <w:start w:w="110" w:type="dxa"/>
              <w:bottom w:w="90" w:type="dxa"/>
              <w:end w:w="110" w:type="dxa"/>
            </w:tcMar>
            <w:shd w:fill="071426"/>
          </w:tcPr>
          <w:p>
            <w:pPr>
              <w:pStyle w:val="Compact"/>
              <w:spacing w:after="40"/>
              <w:jc w:val="left"/>
            </w:pPr>
            <w:r>
              <w:rPr>
                <w:rFonts w:ascii="Calibri" w:hAnsi="Calibri" w:eastAsia="Calibri"/>
                <w:b/>
                <w:color w:val="FFFFFF"/>
                <w:sz w:val="18"/>
              </w:rPr>
              <w:t xml:space="preserve">Befugnis</w:t>
            </w:r>
          </w:p>
        </w:tc>
        <w:tc>
          <w:tcPr>
            <w:vAlign w:val="center"/>
            <w:tcMar>
              <w:top w:w="90" w:type="dxa"/>
              <w:start w:w="110" w:type="dxa"/>
              <w:bottom w:w="90" w:type="dxa"/>
              <w:end w:w="110" w:type="dxa"/>
            </w:tcMar>
            <w:shd w:fill="071426"/>
          </w:tcPr>
          <w:p>
            <w:pPr>
              <w:pStyle w:val="Compact"/>
              <w:spacing w:after="40"/>
              <w:jc w:val="left"/>
            </w:pPr>
            <w:r>
              <w:rPr>
                <w:rFonts w:ascii="Calibri" w:hAnsi="Calibri" w:eastAsia="Calibri"/>
                <w:b/>
                <w:color w:val="FFFFFF"/>
                <w:sz w:val="18"/>
              </w:rPr>
              <w:t xml:space="preserve">Kontrolle</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Tag 0-90</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Deployment, Testparameter, Bugfix-Upgrade im wertlosen Testnet</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4-von-7 Multisig, 48h Timelock</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Tag 91-365</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nur sicherheitskritische, abwärtskompatible Änderungen</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5-von-9, 14 Tage Timelock, öffentlicher Review</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Monat 13-24</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Übergabe, keine neue ökonomische Funktion</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6-von-11, 30 Tage Timelock</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Sunset</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Schlüssel-Burn und Covenant-Nachweis</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öffentliche Zeremonie, reproduzierbare Verifikation</w:t>
            </w:r>
          </w:p>
        </w:tc>
      </w:tr>
    </w:tbl>
    <w:p>
      <w:pPr>
        <w:pStyle w:val="BodyText"/>
      </w:pPr>
      <w:r>
        <w:rPr>
          <w:rFonts w:ascii="Calibri" w:hAnsi="Calibri" w:eastAsia="Calibri"/>
        </w:rPr>
        <w:t xml:space="preserve">Für eine reale Währung müsste der Sunset vor werttragendem Genesis gesetzlich und technisch fixiert sein. Ein „später festzulegender“ Sunset ist keine Dezentralität.</w:t>
      </w:r>
    </w:p>
    <w:bookmarkEnd w:id="57"/>
    <w:bookmarkStart w:id="58" w:name="Xf2edc58e8c99c9d3c4cb8e3097360bd9cfa31c6"/>
    <w:p>
      <w:pPr>
        <w:pStyle w:val="Heading2"/>
      </w:pPr>
      <w:r>
        <w:rPr>
          <w:rFonts w:ascii="Calibri" w:hAnsi="Calibri" w:eastAsia="Calibri"/>
        </w:rPr>
        <w:t xml:space="preserve">7.4 Bürger- und Fachaufsicht</w:t>
      </w:r>
    </w:p>
    <w:p>
      <w:pPr>
        <w:pStyle w:val="FirstParagraph"/>
      </w:pPr>
      <w:r>
        <w:rPr>
          <w:rFonts w:ascii="Calibri" w:hAnsi="Calibri" w:eastAsia="Calibri"/>
        </w:rPr>
        <w:t xml:space="preserve">Ein nicht handelbarer Civic Pass kann Vorschläge, Auditprioritäten und Vetos gegen Fiat-Kollateral im Umfeld koordinieren. Er darf keine Konten sperren und keine Geldmenge ändern. Datenschutz verlangt Trennung zwischen Steuer-ID-Prüfung und on-chain Pseudonym; ein Zero-Knowledge-Eligibility-Proof ist Forschungsgegenstand, kein Startversprechen.</w:t>
      </w:r>
    </w:p>
    <w:bookmarkEnd w:id="58"/>
    <w:bookmarkStart w:id="59" w:name="Xa2fd5d184d39a267c7ab1ad7525d973819f32f5"/>
    <w:p>
      <w:pPr>
        <w:pStyle w:val="Heading2"/>
      </w:pPr>
      <w:r>
        <w:rPr>
          <w:rFonts w:ascii="Calibri" w:hAnsi="Calibri" w:eastAsia="Calibri"/>
        </w:rPr>
        <w:t xml:space="preserve">7.5 Notfallmechanik</w:t>
      </w:r>
    </w:p>
    <w:p>
      <w:pPr>
        <w:pStyle w:val="FirstParagraph"/>
      </w:pPr>
      <w:r>
        <w:rPr>
          <w:rFonts w:ascii="Calibri" w:hAnsi="Calibri" w:eastAsia="Calibri"/>
        </w:rPr>
        <w:t xml:space="preserve">Der unveränderliche Kern besitzt keinen globalen Pause-Schalter. Wallets, Bridges, Cash-Ausgabe und regulierte Märkte können lokal pausieren. Ein zeitlich auslaufender Guardian darf in der Bootstrap-Phase nur neue CashLots und OfflineLocks stoppen, niemals Bearer-Transfers oder Auszahlungen aus bereits erfüllten Claims. Dieses Muster übernimmt die Sunset-Disziplin des 1kUSD-Projekts, nicht dessen Peg-/Oracle- oder Adminarchitektur.</w:t>
      </w:r>
    </w:p>
    <w:p>
      <w:pPr>
        <w:pStyle w:val="BodyText"/>
      </w:pPr>
      <w:r>
        <w:rPr>
          <w:rFonts w:ascii="Calibri" w:hAnsi="Calibri" w:eastAsia="Calibri"/>
        </w:rPr>
        <w:br w:type="page"/>
      </w:r>
    </w:p>
    <w:bookmarkEnd w:id="59"/>
    <w:bookmarkEnd w:id="60"/>
    <w:bookmarkStart w:id="66" w:name="Xb75761ff89765713ae1e8cfac348bcf0b91e351"/>
    <w:p>
      <w:pPr>
        <w:pStyle w:val="Heading1"/>
      </w:pPr>
      <w:r>
        <w:rPr>
          <w:rFonts w:ascii="Calibri" w:hAnsi="Calibri" w:eastAsia="Calibri"/>
        </w:rPr>
        <w:t xml:space="preserve">8. Rechtliche Architektur</w:t>
      </w:r>
    </w:p>
    <w:bookmarkStart w:id="61" w:name="X4af877ffa59f609249b09af66c34ff3c6f668b2"/>
    <w:p>
      <w:pPr>
        <w:pStyle w:val="Heading2"/>
      </w:pPr>
      <w:r>
        <w:rPr>
          <w:rFonts w:ascii="Calibri" w:hAnsi="Calibri" w:eastAsia="Calibri"/>
        </w:rPr>
        <w:t xml:space="preserve">8.1 Liga A: Forschung und freiwilliger Pilot innerhalb der Eurozone</w:t>
      </w:r>
    </w:p>
    <w:p>
      <w:pPr>
        <w:pStyle w:val="FirstParagraph"/>
      </w:pPr>
      <w:r>
        <w:rPr>
          <w:rFonts w:ascii="Calibri" w:hAnsi="Calibri" w:eastAsia="Calibri"/>
        </w:rPr>
        <w:t xml:space="preserve">Art. 128 AEUV ordnet die Genehmigung der Euro-Banknotenausgabe der EZB zu; Euro-Banknoten sind gesetzliches Zahlungsmittel. Die Verordnung (EG) Nr. 974/98 bildet den Rahmen, in dem der Euro die Währung der teilnehmenden Mitgliedstaaten ist. Daraus folgt für dieses Dossier: Griechenland darf ΔΡΑΧ in Phase 0 nicht als nationales gesetzliches Zahlungsmittel mit allgemeiner Annahmepflicht ausgeben.</w:t>
      </w:r>
    </w:p>
    <w:p>
      <w:pPr>
        <w:pStyle w:val="BodyText"/>
      </w:pPr>
      <w:r>
        <w:rPr>
          <w:rFonts w:ascii="Calibri" w:hAnsi="Calibri" w:eastAsia="Calibri"/>
          <w:b/>
          <w:bCs/>
        </w:rPr>
        <w:t xml:space="preserve">Fiktiver Gesetzestitel:</w:t>
      </w:r>
      <w:r>
        <w:rPr>
          <w:rFonts w:ascii="Calibri" w:hAnsi="Calibri" w:eastAsia="Calibri"/>
        </w:rPr>
        <w:t xml:space="preserve"> </w:t>
      </w:r>
      <w:r>
        <w:rPr>
          <w:rFonts w:ascii="Calibri" w:hAnsi="Calibri" w:eastAsia="Calibri"/>
        </w:rPr>
        <w:t xml:space="preserve">„Gesetz über die interdisziplinäre Erforschung programmierbarer, bargeldkompatibler digitaler Rechnungseinheiten (Νόμος Πειραματικής Ψηφιακής Λογιστικής Μονάδας)“.</w:t>
      </w:r>
    </w:p>
    <w:p>
      <w:pPr>
        <w:pStyle w:val="BodyText"/>
      </w:pPr>
      <w:r>
        <w:rPr>
          <w:rFonts w:ascii="Calibri" w:hAnsi="Calibri" w:eastAsia="Calibri"/>
          <w:b/>
          <w:bCs/>
        </w:rPr>
        <w:t xml:space="preserve">Artikelstruktur:</w:t>
      </w:r>
    </w:p>
    <w:p>
      <w:pPr>
        <w:pStyle w:val="Compact"/>
        <w:numPr>
          <w:ilvl w:val="0"/>
          <w:numId w:val="1014"/>
        </w:numPr>
      </w:pPr>
      <w:r>
        <w:rPr>
          <w:rFonts w:ascii="Calibri" w:hAnsi="Calibri" w:eastAsia="Calibri"/>
        </w:rPr>
        <w:t xml:space="preserve">Zweck und ausdrücklicher Ausschluss von Legal-Tender-Status;</w:t>
      </w:r>
    </w:p>
    <w:p>
      <w:pPr>
        <w:pStyle w:val="Compact"/>
        <w:numPr>
          <w:ilvl w:val="0"/>
          <w:numId w:val="1014"/>
        </w:numPr>
      </w:pPr>
      <w:r>
        <w:rPr>
          <w:rFonts w:ascii="Calibri" w:hAnsi="Calibri" w:eastAsia="Calibri"/>
        </w:rPr>
        <w:t xml:space="preserve">Einrichtung eines befristeten Forschungsprogramms;</w:t>
      </w:r>
    </w:p>
    <w:p>
      <w:pPr>
        <w:pStyle w:val="Compact"/>
        <w:numPr>
          <w:ilvl w:val="0"/>
          <w:numId w:val="1014"/>
        </w:numPr>
      </w:pPr>
      <w:r>
        <w:rPr>
          <w:rFonts w:ascii="Calibri" w:hAnsi="Calibri" w:eastAsia="Calibri"/>
        </w:rPr>
        <w:t xml:space="preserve">Testnet ohne realen Geldwert;</w:t>
      </w:r>
    </w:p>
    <w:p>
      <w:pPr>
        <w:pStyle w:val="Compact"/>
        <w:numPr>
          <w:ilvl w:val="0"/>
          <w:numId w:val="1014"/>
        </w:numPr>
      </w:pPr>
      <w:r>
        <w:rPr>
          <w:rFonts w:ascii="Calibri" w:hAnsi="Calibri" w:eastAsia="Calibri"/>
        </w:rPr>
        <w:t xml:space="preserve">unabhängige Rechts-, Datenschutz- und Sicherheitsgutachten;</w:t>
      </w:r>
    </w:p>
    <w:p>
      <w:pPr>
        <w:pStyle w:val="Compact"/>
        <w:numPr>
          <w:ilvl w:val="0"/>
          <w:numId w:val="1014"/>
        </w:numPr>
      </w:pPr>
      <w:r>
        <w:rPr>
          <w:rFonts w:ascii="Calibri" w:hAnsi="Calibri" w:eastAsia="Calibri"/>
        </w:rPr>
        <w:t xml:space="preserve">Verbot öffentlicher Schuldenaufnahme und Steuerannahme in ΔΡΑΧ;</w:t>
      </w:r>
    </w:p>
    <w:p>
      <w:pPr>
        <w:pStyle w:val="Compact"/>
        <w:numPr>
          <w:ilvl w:val="0"/>
          <w:numId w:val="1014"/>
        </w:numPr>
      </w:pPr>
      <w:r>
        <w:rPr>
          <w:rFonts w:ascii="Calibri" w:hAnsi="Calibri" w:eastAsia="Calibri"/>
        </w:rPr>
        <w:t xml:space="preserve">Veröffentlichungspflichten und parlamentarische Kontrolle;</w:t>
      </w:r>
    </w:p>
    <w:p>
      <w:pPr>
        <w:pStyle w:val="Compact"/>
        <w:numPr>
          <w:ilvl w:val="0"/>
          <w:numId w:val="1014"/>
        </w:numPr>
      </w:pPr>
      <w:r>
        <w:rPr>
          <w:rFonts w:ascii="Calibri" w:hAnsi="Calibri" w:eastAsia="Calibri"/>
        </w:rPr>
        <w:t xml:space="preserve">automatische Beendigung nach 18 Monaten ohne Anschlussgesetz.</w:t>
      </w:r>
    </w:p>
    <w:p>
      <w:pPr>
        <w:pStyle w:val="FirstParagraph"/>
      </w:pPr>
      <w:r>
        <w:rPr>
          <w:rFonts w:ascii="Calibri" w:hAnsi="Calibri" w:eastAsia="Calibri"/>
          <w:b/>
          <w:bCs/>
        </w:rPr>
        <w:t xml:space="preserve">Annahmepflicht:</w:t>
      </w:r>
      <w:r>
        <w:rPr>
          <w:rFonts w:ascii="Calibri" w:hAnsi="Calibri" w:eastAsia="Calibri"/>
        </w:rPr>
        <w:t xml:space="preserve"> </w:t>
      </w:r>
      <w:r>
        <w:rPr>
          <w:rFonts w:ascii="Calibri" w:hAnsi="Calibri" w:eastAsia="Calibri"/>
        </w:rPr>
        <w:t xml:space="preserve">nein.</w:t>
      </w:r>
      <w:r>
        <w:rPr>
          <w:rFonts w:ascii="Calibri" w:hAnsi="Calibri" w:eastAsia="Calibri"/>
        </w:rPr>
        <w:t xml:space="preserve"> </w:t>
      </w:r>
      <w:r>
        <w:rPr>
          <w:rFonts w:ascii="Calibri" w:hAnsi="Calibri" w:eastAsia="Calibri"/>
          <w:b/>
          <w:bCs/>
        </w:rPr>
        <w:t xml:space="preserve">Steuerwirkung:</w:t>
      </w:r>
      <w:r>
        <w:rPr>
          <w:rFonts w:ascii="Calibri" w:hAnsi="Calibri" w:eastAsia="Calibri"/>
        </w:rPr>
        <w:t xml:space="preserve"> </w:t>
      </w:r>
      <w:r>
        <w:rPr>
          <w:rFonts w:ascii="Calibri" w:hAnsi="Calibri" w:eastAsia="Calibri"/>
        </w:rPr>
        <w:t xml:space="preserve">keine.</w:t>
      </w:r>
      <w:r>
        <w:rPr>
          <w:rFonts w:ascii="Calibri" w:hAnsi="Calibri" w:eastAsia="Calibri"/>
        </w:rPr>
        <w:t xml:space="preserve"> </w:t>
      </w:r>
      <w:r>
        <w:rPr>
          <w:rFonts w:ascii="Calibri" w:hAnsi="Calibri" w:eastAsia="Calibri"/>
          <w:b/>
          <w:bCs/>
        </w:rPr>
        <w:t xml:space="preserve">Strafen:</w:t>
      </w:r>
      <w:r>
        <w:rPr>
          <w:rFonts w:ascii="Calibri" w:hAnsi="Calibri" w:eastAsia="Calibri"/>
        </w:rPr>
        <w:t xml:space="preserve"> </w:t>
      </w:r>
      <w:r>
        <w:rPr>
          <w:rFonts w:ascii="Calibri" w:hAnsi="Calibri" w:eastAsia="Calibri"/>
        </w:rPr>
        <w:t xml:space="preserve">irreführende Legal-Tender-Werbung, Ausgabe werttragender Testinstrumente oder Umgehung regulierter Finanzdienstleistungen.</w:t>
      </w:r>
      <w:r>
        <w:rPr>
          <w:rFonts w:ascii="Calibri" w:hAnsi="Calibri" w:eastAsia="Calibri"/>
        </w:rPr>
        <w:t xml:space="preserve"> </w:t>
      </w:r>
      <w:r>
        <w:rPr>
          <w:rFonts w:ascii="Calibri" w:hAnsi="Calibri" w:eastAsia="Calibri"/>
          <w:b/>
          <w:bCs/>
        </w:rPr>
        <w:t xml:space="preserve">Übergangsfrist:</w:t>
      </w:r>
      <w:r>
        <w:rPr>
          <w:rFonts w:ascii="Calibri" w:hAnsi="Calibri" w:eastAsia="Calibri"/>
        </w:rPr>
        <w:t xml:space="preserve"> </w:t>
      </w:r>
      <w:r>
        <w:rPr>
          <w:rFonts w:ascii="Calibri" w:hAnsi="Calibri" w:eastAsia="Calibri"/>
        </w:rPr>
        <w:t xml:space="preserve">keine; Sunset unmittelbar nach Forschungsende.</w:t>
      </w:r>
    </w:p>
    <w:bookmarkEnd w:id="61"/>
    <w:bookmarkStart w:id="62" w:name="Xa0fd6188cf687ace94b514c18f6f1d411a388fe"/>
    <w:p>
      <w:pPr>
        <w:pStyle w:val="Heading2"/>
      </w:pPr>
      <w:r>
        <w:rPr>
          <w:rFonts w:ascii="Calibri" w:hAnsi="Calibri" w:eastAsia="Calibri"/>
        </w:rPr>
        <w:t xml:space="preserve">8.2 MiCA und griechische Zuständigkeiten</w:t>
      </w:r>
    </w:p>
    <w:p>
      <w:pPr>
        <w:pStyle w:val="FirstParagraph"/>
      </w:pPr>
      <w:r>
        <w:rPr>
          <w:rFonts w:ascii="Calibri" w:hAnsi="Calibri" w:eastAsia="Calibri"/>
        </w:rPr>
        <w:t xml:space="preserve">MiCA ist seit 30. Dezember 2024 vollständig anwendbar. Das griechische Gesetz 5193/2025 enthält nationale Durchführungsmaßnahmen und verteilt Kompetenzen insbesondere zwischen Bank of Greece und Hellenic Capital Market Commission. Ob ein staatlich gesetzlich geschaffenes Instrument, sein Testnet-Abbild oder ein späterer ΔΡΑΧ-Token als ART, sonstiges Krypto-Asset oder außerhalb von MiCA einzuordnen wäre, verlangt ein formelles Rechtsgutachten. Weil kein Anspruch auf EUR und kein stabiler Wert gegenüber einer amtlichen Währung besteht, ist die EMT-Schublade nicht naheliegend. Ein Kaufkraftindex darf nicht faktisch als Einlösungsversprechen ausgestaltet werden.</w:t>
      </w:r>
    </w:p>
    <w:p>
      <w:pPr>
        <w:pStyle w:val="BodyText"/>
      </w:pPr>
      <w:r>
        <w:rPr>
          <w:rFonts w:ascii="Calibri" w:hAnsi="Calibri" w:eastAsia="Calibri"/>
        </w:rPr>
        <w:t xml:space="preserve">CASPs, Banken, Börsen, Custodians, Wallet-Provider und Cash Agents können je nach Dienst erlaubnis-, kapital-, Governance-, Marktmissbrauchs-, Informations- und Verbraucherschutzpflichten unterliegen. Die Bank of Greece erhält daraus kein Protokoll-Vetorecht; sie kann jedoch Institute, Bankzugang und regulierte Dienste beaufsichtigen.</w:t>
      </w:r>
    </w:p>
    <w:bookmarkEnd w:id="62"/>
    <w:bookmarkStart w:id="63" w:name="X50f712ac06c9f21a9dc6d11e2bb5e3a5a488f87"/>
    <w:p>
      <w:pPr>
        <w:pStyle w:val="Heading2"/>
      </w:pPr>
      <w:r>
        <w:rPr>
          <w:rFonts w:ascii="Calibri" w:hAnsi="Calibri" w:eastAsia="Calibri"/>
        </w:rPr>
        <w:t xml:space="preserve">8.3 AML, Travel Rule und Datenschutz</w:t>
      </w:r>
    </w:p>
    <w:p>
      <w:pPr>
        <w:pStyle w:val="FirstParagraph"/>
      </w:pPr>
      <w:r>
        <w:rPr>
          <w:rFonts w:ascii="Calibri" w:hAnsi="Calibri" w:eastAsia="Calibri"/>
        </w:rPr>
        <w:t xml:space="preserve">Die EU-Verordnung 2023/1113 erstreckt Informationspflichten auf bestimmte Krypto-Transfers; die AML-Verordnung 2024/1624 bildet den weiterentwickelten EU-Rahmen. Regulierter Umtausch, Verwahrung, Massenausgabe und Rücknahme benötigen risikobasierte KYC-/Monitoringprozesse. Direkte Self-Custody-Transfers sind technisch anders als CASP-vermittelte Transfers, aber nicht pauschal „rechtsfrei“.</w:t>
      </w:r>
    </w:p>
    <w:p>
      <w:pPr>
        <w:pStyle w:val="BodyText"/>
      </w:pPr>
      <w:r>
        <w:rPr>
          <w:rFonts w:ascii="Calibri" w:hAnsi="Calibri" w:eastAsia="Calibri"/>
        </w:rPr>
        <w:t xml:space="preserve">Öffentliche UTXO-Daten können bei Verknüpfung personenbezogen werden. Deshalb gelten Datenminimierung, getrennte Identitätsschichten, keine Klarnamen on-chain, Datenschutzfolgenabschätzung, Löschkonzepte für Off-Chain-Daten und gesetzlich enge Auskunftsverfahren.</w:t>
      </w:r>
    </w:p>
    <w:bookmarkEnd w:id="63"/>
    <w:bookmarkStart w:id="64" w:name="Xaeb173bcd76517469cefcab0f19916345d61962"/>
    <w:p>
      <w:pPr>
        <w:pStyle w:val="Heading2"/>
      </w:pPr>
      <w:r>
        <w:rPr>
          <w:rFonts w:ascii="Calibri" w:hAnsi="Calibri" w:eastAsia="Calibri"/>
        </w:rPr>
        <w:t xml:space="preserve">8.4 Liga B: fiskalische Gravitation ohne Grexit</w:t>
      </w:r>
    </w:p>
    <w:p>
      <w:pPr>
        <w:pStyle w:val="FirstParagraph"/>
      </w:pPr>
      <w:r>
        <w:rPr>
          <w:rFonts w:ascii="Calibri" w:hAnsi="Calibri" w:eastAsia="Calibri"/>
        </w:rPr>
        <w:t xml:space="preserve">Eine freiwillige Komplementärnutzung für Gebühren, Gutscheine oder vertragliche Zahlungen ist nur nach Einzelfallprüfung denkbar. Je stärker Staat, Löhne, Steuern und öffentliche Aufträge systematisch in ΔΡΑΧ verlagert werden, desto größer ist das Risiko, dass EU-Institutionen das Instrument als unzulässige Parallelwährung mit Währungscharakter behandeln. Dieses Dossier empfiehlt daher in der Eurozone keine fiskalische Gravitation, bevor ein gemeinsames Gutachten mit EU-Kommission, EZB, BoG und HCMC vorliegt.</w:t>
      </w:r>
    </w:p>
    <w:bookmarkEnd w:id="64"/>
    <w:bookmarkStart w:id="65" w:name="Xa06d0a90059ae43ee3fdb85a985dc92db5a7cbe"/>
    <w:p>
      <w:pPr>
        <w:pStyle w:val="Heading2"/>
      </w:pPr>
      <w:r>
        <w:rPr>
          <w:rFonts w:ascii="Calibri" w:hAnsi="Calibri" w:eastAsia="Calibri"/>
        </w:rPr>
        <w:t xml:space="preserve">8.5 Liga C: vollständige Währungssouveränität</w:t>
      </w:r>
    </w:p>
    <w:p>
      <w:pPr>
        <w:pStyle w:val="FirstParagraph"/>
      </w:pPr>
      <w:r>
        <w:rPr>
          <w:rFonts w:ascii="Calibri" w:hAnsi="Calibri" w:eastAsia="Calibri"/>
        </w:rPr>
        <w:t xml:space="preserve">Nur in einem Szenario vollständiger Währungssouveränität könnte ein nationales Währungsgesetz ΔΡΑΧ zur Rechnungseinheit, zum Steuerzahlungsmittel und zum gesetzlichen Zahlungsmittel erklären. Das würde weit über Technik hinausreichen: Target2, Bankenrekapitalisierung, Einlagensicherung, Kapitalverkehr, Euro-Schulden, Vertragsumstellung, Bargeldlogistik, Zentralbankgesetz, öffentliche Rechnungslegung und internationale Abkommen.</w:t>
      </w:r>
    </w:p>
    <w:p>
      <w:pPr>
        <w:pStyle w:val="BodyText"/>
      </w:pPr>
      <w:r>
        <w:rPr>
          <w:rFonts w:ascii="Calibri" w:hAnsi="Calibri" w:eastAsia="Calibri"/>
          <w:b/>
          <w:bCs/>
        </w:rPr>
        <w:t xml:space="preserve">Fiktiver Gesetzestitel:</w:t>
      </w:r>
      <w:r>
        <w:rPr>
          <w:rFonts w:ascii="Calibri" w:hAnsi="Calibri" w:eastAsia="Calibri"/>
        </w:rPr>
        <w:t xml:space="preserve"> </w:t>
      </w:r>
      <w:r>
        <w:rPr>
          <w:rFonts w:ascii="Calibri" w:hAnsi="Calibri" w:eastAsia="Calibri"/>
        </w:rPr>
        <w:t xml:space="preserve">„Gesetz über die nationale Rechnungseinheit, das dezentrale Währungsprotokoll und die Bargeldordnung (Νόμος Εθνικής Λογιστικής Μονάδας και Αποκεντρωμένου Νομισματικού Πρωτοκόλλου)“.</w:t>
      </w:r>
    </w:p>
    <w:p>
      <w:pPr>
        <w:pStyle w:val="BodyText"/>
      </w:pPr>
      <w:r>
        <w:rPr>
          <w:rFonts w:ascii="Calibri" w:hAnsi="Calibri" w:eastAsia="Calibri"/>
          <w:b/>
          <w:bCs/>
        </w:rPr>
        <w:t xml:space="preserve">Kernartikel:</w:t>
      </w:r>
      <w:r>
        <w:rPr>
          <w:rFonts w:ascii="Calibri" w:hAnsi="Calibri" w:eastAsia="Calibri"/>
        </w:rPr>
        <w:t xml:space="preserve"> </w:t>
      </w:r>
      <w:r>
        <w:rPr>
          <w:rFonts w:ascii="Calibri" w:hAnsi="Calibri" w:eastAsia="Calibri"/>
        </w:rPr>
        <w:t xml:space="preserve">Definition; Legal Tender; Steuerdenomination; Übergangskurs ohne Dauer-Peg; Schutz bestehender Verträge; Bankenreserven; Cash Utility; Protokollverfassung; Sunset; Gerichts- und Insolvenzregeln; Kapitalverkehr nur befristet und verhältnismäßig; internationale Anerkennung.</w:t>
      </w:r>
    </w:p>
    <w:p>
      <w:pPr>
        <w:pStyle w:val="BodyText"/>
      </w:pPr>
      <w:r>
        <w:rPr>
          <w:rFonts w:ascii="Calibri" w:hAnsi="Calibri" w:eastAsia="Calibri"/>
        </w:rPr>
        <w:t xml:space="preserve">Diese Liga ist eine Szenarioskizze und keine Empfehlung zum Austritt aus der Währungsunion.</w:t>
      </w:r>
    </w:p>
    <w:p>
      <w:pPr>
        <w:pStyle w:val="BodyText"/>
      </w:pPr>
      <w:r>
        <w:rPr>
          <w:rFonts w:ascii="Calibri" w:hAnsi="Calibri" w:eastAsia="Calibri"/>
        </w:rPr>
        <w:br w:type="page"/>
      </w:r>
    </w:p>
    <w:bookmarkEnd w:id="65"/>
    <w:bookmarkEnd w:id="66"/>
    <w:bookmarkStart w:id="73" w:name="X14f60923d1544c8e0a6cf338e6125ad966b055d"/>
    <w:p>
      <w:pPr>
        <w:pStyle w:val="Heading1"/>
      </w:pPr>
      <w:r>
        <w:rPr>
          <w:rFonts w:ascii="Calibri" w:hAnsi="Calibri" w:eastAsia="Calibri"/>
        </w:rPr>
        <w:t xml:space="preserve">9. Weltwirtschaftliche Einbindung</w:t>
      </w:r>
    </w:p>
    <w:bookmarkStart w:id="67" w:name="X6ad7a696eb3c7f5c06230f4344bb966841d9231"/>
    <w:p>
      <w:pPr>
        <w:pStyle w:val="Heading2"/>
      </w:pPr>
      <w:r>
        <w:rPr>
          <w:rFonts w:ascii="Calibri" w:hAnsi="Calibri" w:eastAsia="Calibri"/>
        </w:rPr>
        <w:t xml:space="preserve">9.1 Was internationale Relevanz tatsächlich erzeugt</w:t>
      </w:r>
    </w:p>
    <w:p>
      <w:pPr>
        <w:pStyle w:val="FirstParagraph"/>
      </w:pPr>
      <w:r>
        <w:rPr>
          <w:rFonts w:ascii="Calibri" w:hAnsi="Calibri" w:eastAsia="Calibri"/>
        </w:rPr>
        <w:t xml:space="preserve">Eine Währung gewinnt Gewicht nicht durch Unausweichlichkeit, sondern durch handelbare Märkte, Rechtsstaatlichkeit, verlässliche Verträge, tiefe Liquidität, produktive Wirtschaft, sichere Anlagen und grenzüberschreitende Zahlungsnutzen. Technische Zensurresistenz kann diese Faktoren unterstützen, aber nicht ersetzen.</w:t>
      </w:r>
    </w:p>
    <w:bookmarkEnd w:id="67"/>
    <w:bookmarkStart w:id="68" w:name="X4b25ba7463c0843935f0560b9ac557dda6f51ca"/>
    <w:p>
      <w:pPr>
        <w:pStyle w:val="Heading2"/>
      </w:pPr>
      <w:r>
        <w:rPr>
          <w:rFonts w:ascii="Calibri" w:hAnsi="Calibri" w:eastAsia="Calibri"/>
        </w:rPr>
        <w:t xml:space="preserve">9.2 Schifffahrt</w:t>
      </w:r>
    </w:p>
    <w:p>
      <w:pPr>
        <w:pStyle w:val="FirstParagraph"/>
      </w:pPr>
      <w:r>
        <w:rPr>
          <w:rFonts w:ascii="Calibri" w:hAnsi="Calibri" w:eastAsia="Calibri"/>
        </w:rPr>
        <w:t xml:space="preserve">UNCTAD weist Griechenland für Januar 2025 als größte Ship-owning Nation mit 16,4 % der globalen Flottenkapazität aus. Ein freiwilliger ΔΡΑΧ-Beachhead könnte Hafenentgelte, Besatzungs-Mikropayments, Bunker-/Serviceverträge, maritime Versicherungsprämien oder tokenisierte Handelsfinanzierung untersuchen. Verträge bleiben frei, Sanktionen und internationales Privatrecht gelten. Es gibt keinen Zwang und keinen offiziellen Wechselkurs.</w:t>
      </w:r>
    </w:p>
    <w:bookmarkEnd w:id="68"/>
    <w:bookmarkStart w:id="69" w:name="Xc138fdaf7fc1e9acef031c324cda1898b4224db"/>
    <w:p>
      <w:pPr>
        <w:pStyle w:val="Heading2"/>
      </w:pPr>
      <w:r>
        <w:rPr>
          <w:rFonts w:ascii="Calibri" w:hAnsi="Calibri" w:eastAsia="Calibri"/>
        </w:rPr>
        <w:t xml:space="preserve">9.3 Tourismus und Inselwirtschaft</w:t>
      </w:r>
    </w:p>
    <w:p>
      <w:pPr>
        <w:pStyle w:val="FirstParagraph"/>
      </w:pPr>
      <w:r>
        <w:rPr>
          <w:rFonts w:ascii="Calibri" w:hAnsi="Calibri" w:eastAsia="Calibri"/>
        </w:rPr>
        <w:t xml:space="preserve">Die Bank of Greece meldet für 2025 Reiseeinnahmen von 23,6268 Mrd. Euro und einen Überschuss der Reiseverkehrsbilanz von 20,2878 Mrd. Euro. Ein späterer freiwilliger Pilot könnte Naxos, Kalymnos und Syros vergleichen:</w:t>
      </w:r>
    </w:p>
    <w:p>
      <w:pPr>
        <w:pStyle w:val="Compact"/>
        <w:numPr>
          <w:ilvl w:val="0"/>
          <w:numId w:val="1015"/>
        </w:numPr>
      </w:pPr>
      <w:r>
        <w:rPr>
          <w:rFonts w:ascii="Calibri" w:hAnsi="Calibri" w:eastAsia="Calibri"/>
          <w:b/>
          <w:bCs/>
        </w:rPr>
        <w:t xml:space="preserve">Naxos:</w:t>
      </w:r>
      <w:r>
        <w:rPr>
          <w:rFonts w:ascii="Calibri" w:hAnsi="Calibri" w:eastAsia="Calibri"/>
        </w:rPr>
        <w:t xml:space="preserve"> </w:t>
      </w:r>
      <w:r>
        <w:rPr>
          <w:rFonts w:ascii="Calibri" w:hAnsi="Calibri" w:eastAsia="Calibri"/>
        </w:rPr>
        <w:t xml:space="preserve">breiter Tourismus- und Landwirtschaftsmix;</w:t>
      </w:r>
    </w:p>
    <w:p>
      <w:pPr>
        <w:pStyle w:val="Compact"/>
        <w:numPr>
          <w:ilvl w:val="0"/>
          <w:numId w:val="1015"/>
        </w:numPr>
      </w:pPr>
      <w:r>
        <w:rPr>
          <w:rFonts w:ascii="Calibri" w:hAnsi="Calibri" w:eastAsia="Calibri"/>
          <w:b/>
          <w:bCs/>
        </w:rPr>
        <w:t xml:space="preserve">Kalymnos:</w:t>
      </w:r>
      <w:r>
        <w:rPr>
          <w:rFonts w:ascii="Calibri" w:hAnsi="Calibri" w:eastAsia="Calibri"/>
        </w:rPr>
        <w:t xml:space="preserve"> </w:t>
      </w:r>
      <w:r>
        <w:rPr>
          <w:rFonts w:ascii="Calibri" w:hAnsi="Calibri" w:eastAsia="Calibri"/>
        </w:rPr>
        <w:t xml:space="preserve">Fährabhängigkeit, Diaspora und kleinere Händlernetze;</w:t>
      </w:r>
    </w:p>
    <w:p>
      <w:pPr>
        <w:pStyle w:val="Compact"/>
        <w:numPr>
          <w:ilvl w:val="0"/>
          <w:numId w:val="1015"/>
        </w:numPr>
      </w:pPr>
      <w:r>
        <w:rPr>
          <w:rFonts w:ascii="Calibri" w:hAnsi="Calibri" w:eastAsia="Calibri"/>
          <w:b/>
          <w:bCs/>
        </w:rPr>
        <w:t xml:space="preserve">Syros:</w:t>
      </w:r>
      <w:r>
        <w:rPr>
          <w:rFonts w:ascii="Calibri" w:hAnsi="Calibri" w:eastAsia="Calibri"/>
        </w:rPr>
        <w:t xml:space="preserve"> </w:t>
      </w:r>
      <w:r>
        <w:rPr>
          <w:rFonts w:ascii="Calibri" w:hAnsi="Calibri" w:eastAsia="Calibri"/>
        </w:rPr>
        <w:t xml:space="preserve">Verwaltung, Hafen, ganzjährige Wirtschaft und technische Infrastruktur.</w:t>
      </w:r>
    </w:p>
    <w:p>
      <w:pPr>
        <w:pStyle w:val="FirstParagraph"/>
      </w:pPr>
      <w:r>
        <w:rPr>
          <w:rFonts w:ascii="Calibri" w:hAnsi="Calibri" w:eastAsia="Calibri"/>
        </w:rPr>
        <w:t xml:space="preserve">Touristen erhalten optional ein „ΔΡΑΧ-Heft“ aus kleinen Banknoten/Münzen oder eine Wallet. Händler zeigen Dual Pricing. Rücktausch erfolgt zu freien Marktpreisen und ohne staatliche Garantie.</w:t>
      </w:r>
    </w:p>
    <w:bookmarkEnd w:id="69"/>
    <w:bookmarkStart w:id="70" w:name="Xe8ebc5b80f11b03cdf09354c50941fa1892e45b"/>
    <w:p>
      <w:pPr>
        <w:pStyle w:val="Heading2"/>
      </w:pPr>
      <w:r>
        <w:rPr>
          <w:rFonts w:ascii="Calibri" w:hAnsi="Calibri" w:eastAsia="Calibri"/>
        </w:rPr>
        <w:t xml:space="preserve">9.4 Diaspora und Remittances</w:t>
      </w:r>
    </w:p>
    <w:p>
      <w:pPr>
        <w:pStyle w:val="FirstParagraph"/>
      </w:pPr>
      <w:r>
        <w:rPr>
          <w:rFonts w:ascii="Calibri" w:hAnsi="Calibri" w:eastAsia="Calibri"/>
        </w:rPr>
        <w:t xml:space="preserve">Remittances sind ein klarer Nutzen, wenn On-/Off-Ramps transparent, kostengünstig und rechtskonform sind. Das Protokoll betreibt keinen offiziellen EUR-Schalter. Regulierte Anbieter konkurrieren; Gebühren, Spread, Ausführungszeit und Reservequalität werden veröffentlicht.</w:t>
      </w:r>
    </w:p>
    <w:bookmarkEnd w:id="70"/>
    <w:bookmarkStart w:id="71" w:name="Xc70ccd578bebbbffaac5a42510d570c5bffc982"/>
    <w:p>
      <w:pPr>
        <w:pStyle w:val="Heading2"/>
      </w:pPr>
      <w:r>
        <w:rPr>
          <w:rFonts w:ascii="Calibri" w:hAnsi="Calibri" w:eastAsia="Calibri"/>
        </w:rPr>
        <w:t xml:space="preserve">9.5 Kapitalmarkt und Reservefonds</w:t>
      </w:r>
    </w:p>
    <w:p>
      <w:pPr>
        <w:pStyle w:val="FirstParagraph"/>
      </w:pPr>
      <w:r>
        <w:rPr>
          <w:rFonts w:ascii="Calibri" w:hAnsi="Calibri" w:eastAsia="Calibri"/>
        </w:rPr>
        <w:t xml:space="preserve">Ein vom monetären Kern getrennter Reserve-/Liquiditätsfonds darf BTC, ETH, tokenisiertes allokiertes Gold und liquide Staats-/Unternehmenswerte halten. Seine Vermögenswerte sichern</w:t>
      </w:r>
      <w:r>
        <w:rPr>
          <w:rFonts w:ascii="Calibri" w:hAnsi="Calibri" w:eastAsia="Calibri"/>
        </w:rPr>
        <w:t xml:space="preserve"> </w:t>
      </w:r>
      <w:r>
        <w:rPr>
          <w:rFonts w:ascii="Calibri" w:hAnsi="Calibri" w:eastAsia="Calibri"/>
          <w:b/>
          <w:bCs/>
        </w:rPr>
        <w:t xml:space="preserve">nicht</w:t>
      </w:r>
      <w:r>
        <w:rPr>
          <w:rFonts w:ascii="Calibri" w:hAnsi="Calibri" w:eastAsia="Calibri"/>
        </w:rPr>
        <w:t xml:space="preserve"> </w:t>
      </w:r>
      <w:r>
        <w:rPr>
          <w:rFonts w:ascii="Calibri" w:hAnsi="Calibri" w:eastAsia="Calibri"/>
        </w:rPr>
        <w:t xml:space="preserve">die Existenz oder Einlösung jeder ΔΡΑΧ und erlauben kein Minting. Der Fonds stabilisiert nur Marktliquidität aus bereits vorhandenen Beständen. Damit wird Weltwirtschaftsanbindung ermöglicht, ohne Oracle-, Bridge- oder Verwahrungsrisiken in die Geldmengenverfassung zu importieren.</w:t>
      </w:r>
    </w:p>
    <w:bookmarkEnd w:id="71"/>
    <w:bookmarkStart w:id="72" w:name="Xc1aefae054740570a88641150c56d6e9c8d0c74"/>
    <w:p>
      <w:pPr>
        <w:pStyle w:val="Heading2"/>
      </w:pPr>
      <w:r>
        <w:rPr>
          <w:rFonts w:ascii="Calibri" w:hAnsi="Calibri" w:eastAsia="Calibri"/>
        </w:rPr>
        <w:t xml:space="preserve">9.6 Warum Bitcoin-Verbindung nicht Deckung bedeutet</w:t>
      </w:r>
    </w:p>
    <w:p>
      <w:pPr>
        <w:pStyle w:val="FirstParagraph"/>
      </w:pPr>
      <w:r>
        <w:rPr>
          <w:rFonts w:ascii="Calibri" w:hAnsi="Calibri" w:eastAsia="Calibri"/>
        </w:rPr>
        <w:t xml:space="preserve">BTC/ΔΡΑΧ und KAS/ΔΡΑΧ können natürliche Marktpaare sein. Bitcoin kann im Reservefonds, in Zahlungswegen und als neutraler Referenzmarkt dienen. Eine automatische Prägung von ΔΡΑΧ gegen BTC würde jedoch Volatilität, Liquidation, Oracle- und Custody-Risiken in den Kern holen. Sie wird daher ausgeschlossen.</w:t>
      </w:r>
    </w:p>
    <w:p>
      <w:pPr>
        <w:pStyle w:val="BodyText"/>
      </w:pPr>
      <w:r>
        <w:rPr>
          <w:rFonts w:ascii="Calibri" w:hAnsi="Calibri" w:eastAsia="Calibri"/>
        </w:rPr>
        <w:br w:type="page"/>
      </w:r>
    </w:p>
    <w:bookmarkEnd w:id="72"/>
    <w:bookmarkEnd w:id="73"/>
    <w:bookmarkStart w:id="78" w:name="Xb8f43ec7f9821fe7b22f38d3f947639eecb7bd6"/>
    <w:p>
      <w:pPr>
        <w:pStyle w:val="Heading1"/>
      </w:pPr>
      <w:r>
        <w:rPr>
          <w:rFonts w:ascii="Calibri" w:hAnsi="Calibri" w:eastAsia="Calibri"/>
        </w:rPr>
        <w:t xml:space="preserve">10. Sicherheit und Threat Model</w:t>
      </w:r>
    </w:p>
    <w:bookmarkStart w:id="74" w:name="X1fff5449ffcf2f4a99142f0b70a4cfe8cabfe78"/>
    <w:p>
      <w:pPr>
        <w:pStyle w:val="Heading2"/>
      </w:pPr>
      <w:r>
        <w:rPr>
          <w:rFonts w:ascii="Calibri" w:hAnsi="Calibri" w:eastAsia="Calibri"/>
        </w:rPr>
        <w:t xml:space="preserve">10.1 Schutzziele</w:t>
      </w:r>
    </w:p>
    <w:p>
      <w:pPr>
        <w:pStyle w:val="Compact"/>
        <w:numPr>
          <w:ilvl w:val="0"/>
          <w:numId w:val="1016"/>
        </w:numPr>
      </w:pPr>
      <w:r>
        <w:rPr>
          <w:rFonts w:ascii="Calibri" w:hAnsi="Calibri" w:eastAsia="Calibri"/>
        </w:rPr>
        <w:t xml:space="preserve">keine Verletzung von Mmax;</w:t>
      </w:r>
    </w:p>
    <w:p>
      <w:pPr>
        <w:pStyle w:val="Compact"/>
        <w:numPr>
          <w:ilvl w:val="0"/>
          <w:numId w:val="1016"/>
        </w:numPr>
      </w:pPr>
      <w:r>
        <w:rPr>
          <w:rFonts w:ascii="Calibri" w:hAnsi="Calibri" w:eastAsia="Calibri"/>
        </w:rPr>
        <w:t xml:space="preserve">keine Doppelzählung zwischen D, P, O und E;</w:t>
      </w:r>
    </w:p>
    <w:p>
      <w:pPr>
        <w:pStyle w:val="Compact"/>
        <w:numPr>
          <w:ilvl w:val="0"/>
          <w:numId w:val="1016"/>
        </w:numPr>
      </w:pPr>
      <w:r>
        <w:rPr>
          <w:rFonts w:ascii="Calibri" w:hAnsi="Calibri" w:eastAsia="Calibri"/>
        </w:rPr>
        <w:t xml:space="preserve">keine unberechtigte Freigabe aus CashLots;</w:t>
      </w:r>
    </w:p>
    <w:p>
      <w:pPr>
        <w:pStyle w:val="Compact"/>
        <w:numPr>
          <w:ilvl w:val="0"/>
          <w:numId w:val="1016"/>
        </w:numPr>
      </w:pPr>
      <w:r>
        <w:rPr>
          <w:rFonts w:ascii="Calibri" w:hAnsi="Calibri" w:eastAsia="Calibri"/>
        </w:rPr>
        <w:t xml:space="preserve">keine Reaktivierung von Genesis-Rechten;</w:t>
      </w:r>
    </w:p>
    <w:p>
      <w:pPr>
        <w:pStyle w:val="Compact"/>
        <w:numPr>
          <w:ilvl w:val="0"/>
          <w:numId w:val="1016"/>
        </w:numPr>
      </w:pPr>
      <w:r>
        <w:rPr>
          <w:rFonts w:ascii="Calibri" w:hAnsi="Calibri" w:eastAsia="Calibri"/>
        </w:rPr>
        <w:t xml:space="preserve">kein systemischer Schaden durch kompromittierte Wallets, Indexer oder Secure Elements;</w:t>
      </w:r>
    </w:p>
    <w:p>
      <w:pPr>
        <w:pStyle w:val="Compact"/>
        <w:numPr>
          <w:ilvl w:val="0"/>
          <w:numId w:val="1016"/>
        </w:numPr>
      </w:pPr>
      <w:r>
        <w:rPr>
          <w:rFonts w:ascii="Calibri" w:hAnsi="Calibri" w:eastAsia="Calibri"/>
        </w:rPr>
        <w:t xml:space="preserve">reproduzierbare Prüfung ohne Vertrauen in ein Regierungsdashboard.</w:t>
      </w:r>
    </w:p>
    <w:bookmarkEnd w:id="74"/>
    <w:bookmarkStart w:id="75" w:name="X9f494fe1e06711f265995bab8ed9582a632d968"/>
    <w:p>
      <w:pPr>
        <w:pStyle w:val="Heading2"/>
      </w:pPr>
      <w:r>
        <w:rPr>
          <w:rFonts w:ascii="Calibri" w:hAnsi="Calibri" w:eastAsia="Calibri"/>
        </w:rPr>
        <w:t xml:space="preserve">10.2 Hauptrisiken</w:t>
      </w:r>
    </w:p>
    <w:tbl>
      <w:tblPr>
        <w:tblStyle w:val="Table"/>
        <w:tblW w:type="auto" w:w="0"/>
        <w:jc w:val="center"/>
        <w:tblLayout w:type="autofit"/>
        <w:tblLook w:firstRow="1" w:lastRow="0" w:firstColumn="0" w:lastColumn="0" w:noHBand="0" w:noVBand="0" w:val="0020"/>
      </w:tblPr>
      <w:tblGrid>
        <w:gridCol w:w="1980"/>
        <w:gridCol w:w="1980"/>
        <w:gridCol w:w="1980"/>
        <w:gridCol w:w="1980"/>
      </w:tblGrid>
      <w:tr>
        <w:trPr>
          <w:tblHeader w:val="on"/>
        </w:trPr>
        <w:tc>
          <w:tcPr>
            <w:vAlign w:val="center"/>
            <w:tcMar>
              <w:top w:w="90" w:type="dxa"/>
              <w:start w:w="110" w:type="dxa"/>
              <w:bottom w:w="90" w:type="dxa"/>
              <w:end w:w="110" w:type="dxa"/>
            </w:tcMar>
            <w:shd w:fill="071426"/>
          </w:tcPr>
          <w:p>
            <w:pPr>
              <w:pStyle w:val="Compact"/>
              <w:spacing w:after="40"/>
              <w:jc w:val="left"/>
            </w:pPr>
            <w:r>
              <w:rPr>
                <w:rFonts w:ascii="Calibri" w:hAnsi="Calibri" w:eastAsia="Calibri"/>
                <w:b/>
                <w:color w:val="FFFFFF"/>
                <w:sz w:val="18"/>
              </w:rPr>
              <w:t xml:space="preserve">Risiko</w:t>
            </w:r>
          </w:p>
        </w:tc>
        <w:tc>
          <w:tcPr>
            <w:vAlign w:val="center"/>
            <w:tcMar>
              <w:top w:w="90" w:type="dxa"/>
              <w:start w:w="110" w:type="dxa"/>
              <w:bottom w:w="90" w:type="dxa"/>
              <w:end w:w="110" w:type="dxa"/>
            </w:tcMar>
            <w:shd w:fill="071426"/>
          </w:tcPr>
          <w:p>
            <w:pPr>
              <w:pStyle w:val="Compact"/>
              <w:spacing w:after="40"/>
              <w:jc w:val="left"/>
            </w:pPr>
            <w:r>
              <w:rPr>
                <w:rFonts w:ascii="Calibri" w:hAnsi="Calibri" w:eastAsia="Calibri"/>
                <w:b/>
                <w:color w:val="FFFFFF"/>
                <w:sz w:val="18"/>
              </w:rPr>
              <w:t xml:space="preserve">Frühindikator</w:t>
            </w:r>
          </w:p>
        </w:tc>
        <w:tc>
          <w:tcPr>
            <w:vAlign w:val="center"/>
            <w:tcMar>
              <w:top w:w="90" w:type="dxa"/>
              <w:start w:w="110" w:type="dxa"/>
              <w:bottom w:w="90" w:type="dxa"/>
              <w:end w:w="110" w:type="dxa"/>
            </w:tcMar>
            <w:shd w:fill="071426"/>
          </w:tcPr>
          <w:p>
            <w:pPr>
              <w:pStyle w:val="Compact"/>
              <w:spacing w:after="40"/>
              <w:jc w:val="left"/>
            </w:pPr>
            <w:r>
              <w:rPr>
                <w:rFonts w:ascii="Calibri" w:hAnsi="Calibri" w:eastAsia="Calibri"/>
                <w:b/>
                <w:color w:val="FFFFFF"/>
                <w:sz w:val="18"/>
              </w:rPr>
              <w:t xml:space="preserve">Gegenmittel</w:t>
            </w:r>
          </w:p>
        </w:tc>
        <w:tc>
          <w:tcPr>
            <w:vAlign w:val="center"/>
            <w:tcMar>
              <w:top w:w="90" w:type="dxa"/>
              <w:start w:w="110" w:type="dxa"/>
              <w:bottom w:w="90" w:type="dxa"/>
              <w:end w:w="110" w:type="dxa"/>
            </w:tcMar>
            <w:shd w:fill="071426"/>
          </w:tcPr>
          <w:p>
            <w:pPr>
              <w:pStyle w:val="Compact"/>
              <w:spacing w:after="40"/>
              <w:jc w:val="left"/>
            </w:pPr>
            <w:r>
              <w:rPr>
                <w:rFonts w:ascii="Calibri" w:hAnsi="Calibri" w:eastAsia="Calibri"/>
                <w:b/>
                <w:color w:val="FFFFFF"/>
                <w:sz w:val="18"/>
              </w:rPr>
              <w:t xml:space="preserve">Residualrisiko</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Covenant-/Compilerfehler</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unterschiedliche Ausführung, Audit-Finding</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formale Spezifikation, Mehrfachcompiler, Testnet, Bug Bounty</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hoch bis unabhängige Audits vorliegen</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Kaspa-Reorg/51%-Angriff</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ungewöhnliche Reorg-Tiefe, Hashrate-Konzentration</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Finalitätsfenster, Alarmierung, Cash-Ausgabe stoppt lokal</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externes Netz bleibt abhängig</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UTXO-Fragmentierung</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steigende Inputzahl/Mass</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Wallet-Konsolidierung, Mindeststückelung, Gebührenmodell</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UX-/Kostenrisiko</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CashLot-Betrug</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physischer Bestand &gt; on-chain Lock</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Mehrparteienattest, Bond, unangekündigte Inventur</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institutionelle Kollusion</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Falschgeld</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steigende Ablehnungsquote</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Sicherheitsmerkmale, Serienstatus, Maschinenprüfung</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soziale Schäden trotz keiner Geldschöpfung</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Offline-Double-Spend</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Konfliktquote, Counter-Anomalien</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Limits, Haftung, Synchronisationspflicht</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begrenzter Händlerverlust</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Governance Capture</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Stimmkonzentration, verkürzte Timelocks</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unveränderlicher Kern, lange Timelocks, Sunset</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externe Dienste beeinflussbar</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Staatlicher Zugriff</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Gesetzes-/Beschlagnahmerisiko</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Self-Custody, Schlüssel-Burn, Rechtsmittel</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Staat kann Nutzung kriminalisieren, nicht technisch löschen</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KAS-Gebührenschock</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Kosten/Tx und Liquiditätsengpass</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Sponsoring, Puffer, Migrationstest</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keine autonome Fee-Policy</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Bank-Run/Liquiditätskrise</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Abflüsse aus Laufzeitfonds</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100%-Reserve-Zahlungskonten, Bail-in, Fonds</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Kreditkontraktion</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Datenschutz-Leak</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Cluster deanonymisieren Nutzer</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Coin Selection, getrennte Identität, ZK-Forschung</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öffentliche Ledger-Metadaten</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Sanktionsnarrativ</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Verlust von Korrespondenzbanken</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Compliance an Ramps, keine Umgehungspositionierung</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geopolitisches Risiko</w:t>
            </w:r>
          </w:p>
        </w:tc>
      </w:tr>
    </w:tbl>
    <w:bookmarkEnd w:id="75"/>
    <w:bookmarkStart w:id="76" w:name="X2530b0c84267d9c2e82975fb21b23d5de0cd19e"/>
    <w:p>
      <w:pPr>
        <w:pStyle w:val="Heading2"/>
      </w:pPr>
      <w:r>
        <w:rPr>
          <w:rFonts w:ascii="Calibri" w:hAnsi="Calibri" w:eastAsia="Calibri"/>
        </w:rPr>
        <w:t xml:space="preserve">10.3 Audit-Reihenfolge</w:t>
      </w:r>
    </w:p>
    <w:p>
      <w:pPr>
        <w:pStyle w:val="Compact"/>
        <w:numPr>
          <w:ilvl w:val="0"/>
          <w:numId w:val="1017"/>
        </w:numPr>
      </w:pPr>
      <w:r>
        <w:rPr>
          <w:rFonts w:ascii="Calibri" w:hAnsi="Calibri" w:eastAsia="Calibri"/>
        </w:rPr>
        <w:t xml:space="preserve">formale Invarianten und ökonomische Zustandsmaschine;</w:t>
      </w:r>
    </w:p>
    <w:p>
      <w:pPr>
        <w:pStyle w:val="Compact"/>
        <w:numPr>
          <w:ilvl w:val="0"/>
          <w:numId w:val="1017"/>
        </w:numPr>
      </w:pPr>
      <w:r>
        <w:rPr>
          <w:rFonts w:ascii="Calibri" w:hAnsi="Calibri" w:eastAsia="Calibri"/>
        </w:rPr>
        <w:t xml:space="preserve">Silverscript-/Covenant-Compiler und generierte Scripts;</w:t>
      </w:r>
    </w:p>
    <w:p>
      <w:pPr>
        <w:pStyle w:val="Compact"/>
        <w:numPr>
          <w:ilvl w:val="0"/>
          <w:numId w:val="1017"/>
        </w:numPr>
      </w:pPr>
      <w:r>
        <w:rPr>
          <w:rFonts w:ascii="Calibri" w:hAnsi="Calibri" w:eastAsia="Calibri"/>
        </w:rPr>
        <w:t xml:space="preserve">Bearer Split/Merge/Transfer;</w:t>
      </w:r>
    </w:p>
    <w:p>
      <w:pPr>
        <w:pStyle w:val="Compact"/>
        <w:numPr>
          <w:ilvl w:val="0"/>
          <w:numId w:val="1017"/>
        </w:numPr>
      </w:pPr>
      <w:r>
        <w:rPr>
          <w:rFonts w:ascii="Calibri" w:hAnsi="Calibri" w:eastAsia="Calibri"/>
        </w:rPr>
        <w:t xml:space="preserve">Constitution und Emissionsschedule;</w:t>
      </w:r>
    </w:p>
    <w:p>
      <w:pPr>
        <w:pStyle w:val="Compact"/>
        <w:numPr>
          <w:ilvl w:val="0"/>
          <w:numId w:val="1017"/>
        </w:numPr>
      </w:pPr>
      <w:r>
        <w:rPr>
          <w:rFonts w:ascii="Calibri" w:hAnsi="Calibri" w:eastAsia="Calibri"/>
        </w:rPr>
        <w:t xml:space="preserve">CashLot und Recovery;</w:t>
      </w:r>
    </w:p>
    <w:p>
      <w:pPr>
        <w:pStyle w:val="Compact"/>
        <w:numPr>
          <w:ilvl w:val="0"/>
          <w:numId w:val="1017"/>
        </w:numPr>
      </w:pPr>
      <w:r>
        <w:rPr>
          <w:rFonts w:ascii="Calibri" w:hAnsi="Calibri" w:eastAsia="Calibri"/>
        </w:rPr>
        <w:t xml:space="preserve">Offline-Protokoll und Secure Element;</w:t>
      </w:r>
    </w:p>
    <w:p>
      <w:pPr>
        <w:pStyle w:val="Compact"/>
        <w:numPr>
          <w:ilvl w:val="0"/>
          <w:numId w:val="1017"/>
        </w:numPr>
      </w:pPr>
      <w:r>
        <w:rPr>
          <w:rFonts w:ascii="Calibri" w:hAnsi="Calibri" w:eastAsia="Calibri"/>
        </w:rPr>
        <w:t xml:space="preserve">Wallet, Indexer, Monitoring;</w:t>
      </w:r>
    </w:p>
    <w:p>
      <w:pPr>
        <w:pStyle w:val="Compact"/>
        <w:numPr>
          <w:ilvl w:val="0"/>
          <w:numId w:val="1017"/>
        </w:numPr>
      </w:pPr>
      <w:r>
        <w:rPr>
          <w:rFonts w:ascii="Calibri" w:hAnsi="Calibri" w:eastAsia="Calibri"/>
        </w:rPr>
        <w:t xml:space="preserve">Betriebs-, Druck- und Vernichtungsprozesse;</w:t>
      </w:r>
    </w:p>
    <w:p>
      <w:pPr>
        <w:pStyle w:val="Compact"/>
        <w:numPr>
          <w:ilvl w:val="0"/>
          <w:numId w:val="1017"/>
        </w:numPr>
      </w:pPr>
      <w:r>
        <w:rPr>
          <w:rFonts w:ascii="Calibri" w:hAnsi="Calibri" w:eastAsia="Calibri"/>
        </w:rPr>
        <w:t xml:space="preserve">Red-Team-Übung über Technik, Recht und Operations.</w:t>
      </w:r>
    </w:p>
    <w:p>
      <w:pPr>
        <w:pStyle w:val="FirstParagraph"/>
      </w:pPr>
      <w:r>
        <w:rPr>
          <w:rFonts w:ascii="Calibri" w:hAnsi="Calibri" w:eastAsia="Calibri"/>
        </w:rPr>
        <w:t xml:space="preserve">Kein einzelnes Audit genügt. Vor werttragendem Pilot sind mindestens zwei unabhängige Smart-Contract-/Covenant-Audits, ein Compilerreview, ein Hardwareaudit und ein makroökonomischer Stresstest erforderlich.</w:t>
      </w:r>
    </w:p>
    <w:bookmarkEnd w:id="76"/>
    <w:bookmarkStart w:id="77" w:name="X6038ffa32a9f9a5b0fbd2672321a361788bcf2c"/>
    <w:p>
      <w:pPr>
        <w:pStyle w:val="Heading2"/>
      </w:pPr>
      <w:r>
        <w:rPr>
          <w:rFonts w:ascii="Calibri" w:hAnsi="Calibri" w:eastAsia="Calibri"/>
        </w:rPr>
        <w:t xml:space="preserve">10.4 1kUSD als Referenz, nicht als Codebasis</w:t>
      </w:r>
    </w:p>
    <w:p>
      <w:pPr>
        <w:pStyle w:val="FirstParagraph"/>
      </w:pPr>
      <w:r>
        <w:rPr>
          <w:rFonts w:ascii="Calibri" w:hAnsi="Calibri" w:eastAsia="Calibri"/>
        </w:rPr>
        <w:t xml:space="preserve">Wiederverwendbar sind ausschließlich methodische Erfahrungen aus dem abgeschlossenen 1kUSD-Stablecoin-Projekt: ein expliziter Invariantenkatalog, Threat Modeling, dokumentierte Systemgrenzen, öffentliche Telemetrie, zeitlich auslaufende Notfallrechte sowie Invariant-/Fuzz-Testdisziplin. Nicht zu übernehmen sind USD-Peg, PSM, Oracle-Architektur, Mock-Oracles, EVM-Adminstruktur, Tokenökonomie und Branding. Nicht öffentlich prüfbare interne Dateipfade oder Architekturentscheidungen werden in DRAX nicht als Beleg verwendet.</w:t>
      </w:r>
    </w:p>
    <w:p>
      <w:pPr>
        <w:pStyle w:val="BodyText"/>
      </w:pPr>
      <w:r>
        <w:rPr>
          <w:rFonts w:ascii="Calibri" w:hAnsi="Calibri" w:eastAsia="Calibri"/>
        </w:rPr>
        <w:br w:type="page"/>
      </w:r>
    </w:p>
    <w:bookmarkEnd w:id="77"/>
    <w:bookmarkEnd w:id="78"/>
    <w:bookmarkStart w:id="84" w:name="X41cac35574e5964ce193fb67e63a8dda58147db"/>
    <w:p>
      <w:pPr>
        <w:pStyle w:val="Heading1"/>
      </w:pPr>
      <w:r>
        <w:rPr>
          <w:rFonts w:ascii="Calibri" w:hAnsi="Calibri" w:eastAsia="Calibri"/>
        </w:rPr>
        <w:t xml:space="preserve">11. Implementierungsakte und Phase-0-Plan</w:t>
      </w:r>
    </w:p>
    <w:bookmarkStart w:id="79" w:name="X502ef8fbcd8615e31dc9c2f4c493fefd9a07ceb"/>
    <w:p>
      <w:pPr>
        <w:pStyle w:val="Heading2"/>
      </w:pPr>
      <w:r>
        <w:rPr>
          <w:rFonts w:ascii="Calibri" w:hAnsi="Calibri" w:eastAsia="Calibri"/>
        </w:rPr>
        <w:t xml:space="preserve">11.1 Arbeitspakete</w:t>
      </w:r>
    </w:p>
    <w:tbl>
      <w:tblPr>
        <w:tblStyle w:val="Table"/>
        <w:tblW w:type="auto" w:w="0"/>
        <w:jc w:val="center"/>
        <w:tblLayout w:type="autofit"/>
        <w:tblLook w:firstRow="1" w:lastRow="0" w:firstColumn="0" w:lastColumn="0" w:noHBand="0" w:noVBand="0" w:val="0020"/>
      </w:tblPr>
      <w:tblGrid>
        <w:gridCol w:w="1980"/>
        <w:gridCol w:w="1980"/>
        <w:gridCol w:w="1980"/>
        <w:gridCol w:w="1980"/>
      </w:tblGrid>
      <w:tr>
        <w:trPr>
          <w:tblHeader w:val="on"/>
        </w:trPr>
        <w:tc>
          <w:tcPr>
            <w:vAlign w:val="center"/>
            <w:tcMar>
              <w:top w:w="90" w:type="dxa"/>
              <w:start w:w="110" w:type="dxa"/>
              <w:bottom w:w="90" w:type="dxa"/>
              <w:end w:w="110" w:type="dxa"/>
            </w:tcMar>
            <w:shd w:fill="071426"/>
          </w:tcPr>
          <w:p>
            <w:pPr>
              <w:pStyle w:val="Compact"/>
              <w:spacing w:after="40"/>
              <w:jc w:val="left"/>
            </w:pPr>
            <w:r>
              <w:rPr>
                <w:rFonts w:ascii="Calibri" w:hAnsi="Calibri" w:eastAsia="Calibri"/>
                <w:b/>
                <w:color w:val="FFFFFF"/>
                <w:sz w:val="18"/>
              </w:rPr>
              <w:t xml:space="preserve">AP</w:t>
            </w:r>
          </w:p>
        </w:tc>
        <w:tc>
          <w:tcPr>
            <w:vAlign w:val="center"/>
            <w:tcMar>
              <w:top w:w="90" w:type="dxa"/>
              <w:start w:w="110" w:type="dxa"/>
              <w:bottom w:w="90" w:type="dxa"/>
              <w:end w:w="110" w:type="dxa"/>
            </w:tcMar>
            <w:shd w:fill="071426"/>
          </w:tcPr>
          <w:p>
            <w:pPr>
              <w:pStyle w:val="Compact"/>
              <w:spacing w:after="40"/>
              <w:jc w:val="left"/>
            </w:pPr>
            <w:r>
              <w:rPr>
                <w:rFonts w:ascii="Calibri" w:hAnsi="Calibri" w:eastAsia="Calibri"/>
                <w:b/>
                <w:color w:val="FFFFFF"/>
                <w:sz w:val="18"/>
              </w:rPr>
              <w:t xml:space="preserve">Inhalt</w:t>
            </w:r>
          </w:p>
        </w:tc>
        <w:tc>
          <w:tcPr>
            <w:vAlign w:val="center"/>
            <w:tcMar>
              <w:top w:w="90" w:type="dxa"/>
              <w:start w:w="110" w:type="dxa"/>
              <w:bottom w:w="90" w:type="dxa"/>
              <w:end w:w="110" w:type="dxa"/>
            </w:tcMar>
            <w:shd w:fill="071426"/>
          </w:tcPr>
          <w:p>
            <w:pPr>
              <w:pStyle w:val="Compact"/>
              <w:spacing w:after="40"/>
              <w:jc w:val="left"/>
            </w:pPr>
            <w:r>
              <w:rPr>
                <w:rFonts w:ascii="Calibri" w:hAnsi="Calibri" w:eastAsia="Calibri"/>
                <w:b/>
                <w:color w:val="FFFFFF"/>
                <w:sz w:val="18"/>
              </w:rPr>
              <w:t xml:space="preserve">Ergebnis</w:t>
            </w:r>
          </w:p>
        </w:tc>
        <w:tc>
          <w:tcPr>
            <w:vAlign w:val="center"/>
            <w:tcMar>
              <w:top w:w="90" w:type="dxa"/>
              <w:start w:w="110" w:type="dxa"/>
              <w:bottom w:w="90" w:type="dxa"/>
              <w:end w:w="110" w:type="dxa"/>
            </w:tcMar>
            <w:shd w:fill="071426"/>
          </w:tcPr>
          <w:p>
            <w:pPr>
              <w:pStyle w:val="Compact"/>
              <w:spacing w:after="40"/>
              <w:jc w:val="left"/>
            </w:pPr>
            <w:r>
              <w:rPr>
                <w:rFonts w:ascii="Calibri" w:hAnsi="Calibri" w:eastAsia="Calibri"/>
                <w:b/>
                <w:color w:val="FFFFFF"/>
                <w:sz w:val="18"/>
              </w:rPr>
              <w:t xml:space="preserve">Budgetband</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1</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EU-/GR-Recht, MiCA, AML, Legal Tender</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gemeinsames Rechtsgutachten und Negativliste</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140-220 Tsd. €</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2</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monetäre/makroökonomische Simulation</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Open-Source-Modell, Szenarien, Sensitivitäten</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120-200 Tsd. €</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3</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Toccata Covenant PoC</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wertloser Testnet-Prototyp für Constitution/Bearer/CashLot</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220-380 Tsd. €</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4</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Wallet und öffentliche Indexer</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Demo-Wallet, drei reproduzierbare Indexer</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120-220 Tsd. €</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5</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Offline-/Secure-Element-Labor</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zwei Lieferanten, Double-Spend- und Ausfalltests</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100-180 Tsd. €</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6</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Bargeldprozess-Design</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Sicherheits-/Vernichtungs-/Auditprotokoll, keine Wertnoten</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70-130 Tsd. €</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7</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unabhängige Reviews/Bug Bounty</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Security, Compiler, Datenschutz, Operations</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120-220 Tsd. €</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8</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Programmsteuerung/Transparenz</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öffentliche Berichte, Parlament/Stakeholder</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60-100 Tsd. €</w:t>
            </w:r>
          </w:p>
        </w:tc>
      </w:tr>
    </w:tbl>
    <w:p>
      <w:pPr>
        <w:pStyle w:val="BodyText"/>
      </w:pPr>
      <w:r>
        <w:rPr>
          <w:rFonts w:ascii="Calibri" w:hAnsi="Calibri" w:eastAsia="Calibri"/>
          <w:b/>
          <w:bCs/>
        </w:rPr>
        <w:t xml:space="preserve">Gesamtkorridor:</w:t>
      </w:r>
      <w:r>
        <w:rPr>
          <w:rFonts w:ascii="Calibri" w:hAnsi="Calibri" w:eastAsia="Calibri"/>
        </w:rPr>
        <w:t xml:space="preserve"> </w:t>
      </w:r>
      <w:r>
        <w:rPr>
          <w:rFonts w:ascii="Calibri" w:hAnsi="Calibri" w:eastAsia="Calibri"/>
        </w:rPr>
        <w:t xml:space="preserve">0,95-1,65 Mio. Euro einschließlich Reserve; Freigabevorschlag gedeckelt auf 1,6 Mio. Euro. Jeder Auftrag ist meilensteinbasiert. Keine Produktionsinfrastruktur, keine Banknotenproduktion und keine Mainnet-Liquidität.</w:t>
      </w:r>
    </w:p>
    <w:bookmarkEnd w:id="79"/>
    <w:bookmarkStart w:id="80" w:name="X9ff111b16a8671d3844a40ee0317c6bf0a45d9a"/>
    <w:p>
      <w:pPr>
        <w:pStyle w:val="Heading2"/>
      </w:pPr>
      <w:r>
        <w:rPr>
          <w:rFonts w:ascii="Calibri" w:hAnsi="Calibri" w:eastAsia="Calibri"/>
        </w:rPr>
        <w:t xml:space="preserve">11.2 Team</w:t>
      </w:r>
    </w:p>
    <w:p>
      <w:pPr>
        <w:pStyle w:val="Compact"/>
        <w:numPr>
          <w:ilvl w:val="0"/>
          <w:numId w:val="1018"/>
        </w:numPr>
      </w:pPr>
      <w:r>
        <w:rPr>
          <w:rFonts w:ascii="Calibri" w:hAnsi="Calibri" w:eastAsia="Calibri"/>
        </w:rPr>
        <w:t xml:space="preserve">accountable Chief Architect;</w:t>
      </w:r>
    </w:p>
    <w:p>
      <w:pPr>
        <w:pStyle w:val="Compact"/>
        <w:numPr>
          <w:ilvl w:val="0"/>
          <w:numId w:val="1018"/>
        </w:numPr>
      </w:pPr>
      <w:r>
        <w:rPr>
          <w:rFonts w:ascii="Calibri" w:hAnsi="Calibri" w:eastAsia="Calibri"/>
        </w:rPr>
        <w:t xml:space="preserve">zwei Toccata/Silverscript-Engineers;</w:t>
      </w:r>
    </w:p>
    <w:p>
      <w:pPr>
        <w:pStyle w:val="Compact"/>
        <w:numPr>
          <w:ilvl w:val="0"/>
          <w:numId w:val="1018"/>
        </w:numPr>
      </w:pPr>
      <w:r>
        <w:rPr>
          <w:rFonts w:ascii="Calibri" w:hAnsi="Calibri" w:eastAsia="Calibri"/>
        </w:rPr>
        <w:t xml:space="preserve">Wallet-/Indexer-Engineer;</w:t>
      </w:r>
    </w:p>
    <w:p>
      <w:pPr>
        <w:pStyle w:val="Compact"/>
        <w:numPr>
          <w:ilvl w:val="0"/>
          <w:numId w:val="1018"/>
        </w:numPr>
      </w:pPr>
      <w:r>
        <w:rPr>
          <w:rFonts w:ascii="Calibri" w:hAnsi="Calibri" w:eastAsia="Calibri"/>
        </w:rPr>
        <w:t xml:space="preserve">Kryptographie- und Hardware-Security Lead;</w:t>
      </w:r>
    </w:p>
    <w:p>
      <w:pPr>
        <w:pStyle w:val="Compact"/>
        <w:numPr>
          <w:ilvl w:val="0"/>
          <w:numId w:val="1018"/>
        </w:numPr>
      </w:pPr>
      <w:r>
        <w:rPr>
          <w:rFonts w:ascii="Calibri" w:hAnsi="Calibri" w:eastAsia="Calibri"/>
        </w:rPr>
        <w:t xml:space="preserve">EU-/griechisches Währungsrecht;</w:t>
      </w:r>
    </w:p>
    <w:p>
      <w:pPr>
        <w:pStyle w:val="Compact"/>
        <w:numPr>
          <w:ilvl w:val="0"/>
          <w:numId w:val="1018"/>
        </w:numPr>
      </w:pPr>
      <w:r>
        <w:rPr>
          <w:rFonts w:ascii="Calibri" w:hAnsi="Calibri" w:eastAsia="Calibri"/>
        </w:rPr>
        <w:t xml:space="preserve">Banken-/Insolvenzrecht;</w:t>
      </w:r>
    </w:p>
    <w:p>
      <w:pPr>
        <w:pStyle w:val="Compact"/>
        <w:numPr>
          <w:ilvl w:val="0"/>
          <w:numId w:val="1018"/>
        </w:numPr>
      </w:pPr>
      <w:r>
        <w:rPr>
          <w:rFonts w:ascii="Calibri" w:hAnsi="Calibri" w:eastAsia="Calibri"/>
        </w:rPr>
        <w:t xml:space="preserve">Makroökonomie und Zahlungsverkehr;</w:t>
      </w:r>
    </w:p>
    <w:p>
      <w:pPr>
        <w:pStyle w:val="Compact"/>
        <w:numPr>
          <w:ilvl w:val="0"/>
          <w:numId w:val="1018"/>
        </w:numPr>
      </w:pPr>
      <w:r>
        <w:rPr>
          <w:rFonts w:ascii="Calibri" w:hAnsi="Calibri" w:eastAsia="Calibri"/>
        </w:rPr>
        <w:t xml:space="preserve">Bargelddruck-/Münztechnik;</w:t>
      </w:r>
    </w:p>
    <w:p>
      <w:pPr>
        <w:pStyle w:val="Compact"/>
        <w:numPr>
          <w:ilvl w:val="0"/>
          <w:numId w:val="1018"/>
        </w:numPr>
      </w:pPr>
      <w:r>
        <w:rPr>
          <w:rFonts w:ascii="Calibri" w:hAnsi="Calibri" w:eastAsia="Calibri"/>
        </w:rPr>
        <w:t xml:space="preserve">Datenschutz/AML;</w:t>
      </w:r>
    </w:p>
    <w:p>
      <w:pPr>
        <w:pStyle w:val="Compact"/>
        <w:numPr>
          <w:ilvl w:val="0"/>
          <w:numId w:val="1018"/>
        </w:numPr>
      </w:pPr>
      <w:r>
        <w:rPr>
          <w:rFonts w:ascii="Calibri" w:hAnsi="Calibri" w:eastAsia="Calibri"/>
        </w:rPr>
        <w:t xml:space="preserve">Insel-/Hafen-Operations;</w:t>
      </w:r>
    </w:p>
    <w:p>
      <w:pPr>
        <w:pStyle w:val="Compact"/>
        <w:numPr>
          <w:ilvl w:val="0"/>
          <w:numId w:val="1018"/>
        </w:numPr>
      </w:pPr>
      <w:r>
        <w:rPr>
          <w:rFonts w:ascii="Calibri" w:hAnsi="Calibri" w:eastAsia="Calibri"/>
        </w:rPr>
        <w:t xml:space="preserve">zwei unabhängige Auditfirmen.</w:t>
      </w:r>
    </w:p>
    <w:bookmarkEnd w:id="80"/>
    <w:bookmarkStart w:id="81" w:name="Xfdd8d333c42119633dfd0e814869e198c4771a7"/>
    <w:p>
      <w:pPr>
        <w:pStyle w:val="Heading2"/>
      </w:pPr>
      <w:r>
        <w:rPr>
          <w:rFonts w:ascii="Calibri" w:hAnsi="Calibri" w:eastAsia="Calibri"/>
        </w:rPr>
        <w:t xml:space="preserve">11.3 Meilensteine</w:t>
      </w:r>
    </w:p>
    <w:p>
      <w:pPr>
        <w:pStyle w:val="FirstParagraph"/>
      </w:pPr>
      <w:r>
        <w:rPr>
          <w:rFonts w:ascii="Calibri" w:hAnsi="Calibri" w:eastAsia="Calibri"/>
          <w:b/>
          <w:bCs/>
        </w:rPr>
        <w:t xml:space="preserve">Monat 0-3:</w:t>
      </w:r>
      <w:r>
        <w:rPr>
          <w:rFonts w:ascii="Calibri" w:hAnsi="Calibri" w:eastAsia="Calibri"/>
        </w:rPr>
        <w:t xml:space="preserve"> </w:t>
      </w:r>
      <w:r>
        <w:rPr>
          <w:rFonts w:ascii="Calibri" w:hAnsi="Calibri" w:eastAsia="Calibri"/>
        </w:rPr>
        <w:t xml:space="preserve">Mandat, Rechtsfragenkatalog, Systeminvarianten, Quellenregister, Testnet-Umgebung.</w:t>
      </w:r>
      <w:r>
        <w:rPr>
          <w:rFonts w:ascii="Calibri" w:hAnsi="Calibri" w:eastAsia="Calibri"/>
        </w:rPr>
        <w:br/>
      </w:r>
      <w:r>
        <w:rPr>
          <w:rFonts w:ascii="Calibri" w:hAnsi="Calibri" w:eastAsia="Calibri"/>
          <w:b/>
          <w:bCs/>
        </w:rPr>
        <w:t xml:space="preserve">Monat 4-6:</w:t>
      </w:r>
      <w:r>
        <w:rPr>
          <w:rFonts w:ascii="Calibri" w:hAnsi="Calibri" w:eastAsia="Calibri"/>
        </w:rPr>
        <w:t xml:space="preserve"> </w:t>
      </w:r>
      <w:r>
        <w:rPr>
          <w:rFonts w:ascii="Calibri" w:hAnsi="Calibri" w:eastAsia="Calibri"/>
        </w:rPr>
        <w:t xml:space="preserve">Constitution/Bearer PoC, Supply-Indexer, erste Makrosimulation.</w:t>
      </w:r>
      <w:r>
        <w:rPr>
          <w:rFonts w:ascii="Calibri" w:hAnsi="Calibri" w:eastAsia="Calibri"/>
        </w:rPr>
        <w:br/>
      </w:r>
      <w:r>
        <w:rPr>
          <w:rFonts w:ascii="Calibri" w:hAnsi="Calibri" w:eastAsia="Calibri"/>
          <w:b/>
          <w:bCs/>
        </w:rPr>
        <w:t xml:space="preserve">Monat 7-9:</w:t>
      </w:r>
      <w:r>
        <w:rPr>
          <w:rFonts w:ascii="Calibri" w:hAnsi="Calibri" w:eastAsia="Calibri"/>
        </w:rPr>
        <w:t xml:space="preserve"> </w:t>
      </w:r>
      <w:r>
        <w:rPr>
          <w:rFonts w:ascii="Calibri" w:hAnsi="Calibri" w:eastAsia="Calibri"/>
        </w:rPr>
        <w:t xml:space="preserve">CashLot-Prototyp, Offline-Labormodell, externe Architekturprüfung.</w:t>
      </w:r>
      <w:r>
        <w:rPr>
          <w:rFonts w:ascii="Calibri" w:hAnsi="Calibri" w:eastAsia="Calibri"/>
        </w:rPr>
        <w:br/>
      </w:r>
      <w:r>
        <w:rPr>
          <w:rFonts w:ascii="Calibri" w:hAnsi="Calibri" w:eastAsia="Calibri"/>
          <w:b/>
          <w:bCs/>
        </w:rPr>
        <w:t xml:space="preserve">Monat 10-12:</w:t>
      </w:r>
      <w:r>
        <w:rPr>
          <w:rFonts w:ascii="Calibri" w:hAnsi="Calibri" w:eastAsia="Calibri"/>
        </w:rPr>
        <w:t xml:space="preserve"> </w:t>
      </w:r>
      <w:r>
        <w:rPr>
          <w:rFonts w:ascii="Calibri" w:hAnsi="Calibri" w:eastAsia="Calibri"/>
        </w:rPr>
        <w:t xml:space="preserve">Angriffssimulation, Migrationstest, Datenschutz- und AML-Gutachten.</w:t>
      </w:r>
      <w:r>
        <w:rPr>
          <w:rFonts w:ascii="Calibri" w:hAnsi="Calibri" w:eastAsia="Calibri"/>
        </w:rPr>
        <w:br/>
      </w:r>
      <w:r>
        <w:rPr>
          <w:rFonts w:ascii="Calibri" w:hAnsi="Calibri" w:eastAsia="Calibri"/>
          <w:b/>
          <w:bCs/>
        </w:rPr>
        <w:t xml:space="preserve">Monat 13-15:</w:t>
      </w:r>
      <w:r>
        <w:rPr>
          <w:rFonts w:ascii="Calibri" w:hAnsi="Calibri" w:eastAsia="Calibri"/>
        </w:rPr>
        <w:t xml:space="preserve"> </w:t>
      </w:r>
      <w:r>
        <w:rPr>
          <w:rFonts w:ascii="Calibri" w:hAnsi="Calibri" w:eastAsia="Calibri"/>
        </w:rPr>
        <w:t xml:space="preserve">integrierte Demo ohne Geldwert, öffentliche Dokumentation, Red Team.</w:t>
      </w:r>
      <w:r>
        <w:rPr>
          <w:rFonts w:ascii="Calibri" w:hAnsi="Calibri" w:eastAsia="Calibri"/>
        </w:rPr>
        <w:br/>
      </w:r>
      <w:r>
        <w:rPr>
          <w:rFonts w:ascii="Calibri" w:hAnsi="Calibri" w:eastAsia="Calibri"/>
          <w:b/>
          <w:bCs/>
        </w:rPr>
        <w:t xml:space="preserve">Monat 16-18:</w:t>
      </w:r>
      <w:r>
        <w:rPr>
          <w:rFonts w:ascii="Calibri" w:hAnsi="Calibri" w:eastAsia="Calibri"/>
        </w:rPr>
        <w:t xml:space="preserve"> </w:t>
      </w:r>
      <w:r>
        <w:rPr>
          <w:rFonts w:ascii="Calibri" w:hAnsi="Calibri" w:eastAsia="Calibri"/>
        </w:rPr>
        <w:t xml:space="preserve">Abschlussgutachten mit Go/No-Go/Research-Only-Entscheidung.</w:t>
      </w:r>
    </w:p>
    <w:bookmarkEnd w:id="81"/>
    <w:bookmarkStart w:id="82" w:name="Xc0fe65b7d3321fdfb84ae5d255d715135ef987a"/>
    <w:p>
      <w:pPr>
        <w:pStyle w:val="Heading2"/>
      </w:pPr>
      <w:r>
        <w:rPr>
          <w:rFonts w:ascii="Calibri" w:hAnsi="Calibri" w:eastAsia="Calibri"/>
        </w:rPr>
        <w:t xml:space="preserve">11.4 Harte Abbruchkriterien</w:t>
      </w:r>
    </w:p>
    <w:p>
      <w:pPr>
        <w:pStyle w:val="Compact"/>
        <w:numPr>
          <w:ilvl w:val="0"/>
          <w:numId w:val="1019"/>
        </w:numPr>
      </w:pPr>
      <w:r>
        <w:rPr>
          <w:rFonts w:ascii="Calibri" w:hAnsi="Calibri" w:eastAsia="Calibri"/>
        </w:rPr>
        <w:t xml:space="preserve">keine belastbare Rechtsposition für selbst einen wertlosen/geschlossenen Pilot;</w:t>
      </w:r>
    </w:p>
    <w:p>
      <w:pPr>
        <w:pStyle w:val="Compact"/>
        <w:numPr>
          <w:ilvl w:val="0"/>
          <w:numId w:val="1019"/>
        </w:numPr>
      </w:pPr>
      <w:r>
        <w:rPr>
          <w:rFonts w:ascii="Calibri" w:hAnsi="Calibri" w:eastAsia="Calibri"/>
        </w:rPr>
        <w:t xml:space="preserve">kritische Mmax- oder Doppelzählungsinvariante nicht formal und praktisch prüfbar;</w:t>
      </w:r>
    </w:p>
    <w:p>
      <w:pPr>
        <w:pStyle w:val="Compact"/>
        <w:numPr>
          <w:ilvl w:val="0"/>
          <w:numId w:val="1019"/>
        </w:numPr>
      </w:pPr>
      <w:r>
        <w:rPr>
          <w:rFonts w:ascii="Calibri" w:hAnsi="Calibri" w:eastAsia="Calibri"/>
        </w:rPr>
        <w:t xml:space="preserve">Silverscript-/Toccata-Toolchain ohne ausreichend prüfbaren Release-/Auditstand;</w:t>
      </w:r>
    </w:p>
    <w:p>
      <w:pPr>
        <w:pStyle w:val="Compact"/>
        <w:numPr>
          <w:ilvl w:val="0"/>
          <w:numId w:val="1019"/>
        </w:numPr>
      </w:pPr>
      <w:r>
        <w:rPr>
          <w:rFonts w:ascii="Calibri" w:hAnsi="Calibri" w:eastAsia="Calibri"/>
        </w:rPr>
        <w:t xml:space="preserve">Offline-Betrugsverlust oberhalb des genehmigten Risikobudgets;</w:t>
      </w:r>
    </w:p>
    <w:p>
      <w:pPr>
        <w:pStyle w:val="Compact"/>
        <w:numPr>
          <w:ilvl w:val="0"/>
          <w:numId w:val="1019"/>
        </w:numPr>
      </w:pPr>
      <w:r>
        <w:rPr>
          <w:rFonts w:ascii="Calibri" w:hAnsi="Calibri" w:eastAsia="Calibri"/>
        </w:rPr>
        <w:t xml:space="preserve">physischer Lebenszyklus nicht lückenlos mit on-chain Locks abgleichbar;</w:t>
      </w:r>
    </w:p>
    <w:p>
      <w:pPr>
        <w:pStyle w:val="Compact"/>
        <w:numPr>
          <w:ilvl w:val="0"/>
          <w:numId w:val="1019"/>
        </w:numPr>
      </w:pPr>
      <w:r>
        <w:rPr>
          <w:rFonts w:ascii="Calibri" w:hAnsi="Calibri" w:eastAsia="Calibri"/>
        </w:rPr>
        <w:t xml:space="preserve">KAS-Gebühren-/Beschaffungsabhängigkeit ohne akzeptablen Betriebspfad;</w:t>
      </w:r>
    </w:p>
    <w:p>
      <w:pPr>
        <w:pStyle w:val="Compact"/>
        <w:numPr>
          <w:ilvl w:val="0"/>
          <w:numId w:val="1019"/>
        </w:numPr>
      </w:pPr>
      <w:r>
        <w:rPr>
          <w:rFonts w:ascii="Calibri" w:hAnsi="Calibri" w:eastAsia="Calibri"/>
        </w:rPr>
        <w:t xml:space="preserve">Migrationstest erzeugt Doppelgeltungs- oder Enteignungsrisiko;</w:t>
      </w:r>
    </w:p>
    <w:p>
      <w:pPr>
        <w:pStyle w:val="Compact"/>
        <w:numPr>
          <w:ilvl w:val="0"/>
          <w:numId w:val="1019"/>
        </w:numPr>
      </w:pPr>
      <w:r>
        <w:rPr>
          <w:rFonts w:ascii="Calibri" w:hAnsi="Calibri" w:eastAsia="Calibri"/>
        </w:rPr>
        <w:t xml:space="preserve">Makrosimulation zeigt keine tragfähige Banken-/Krisenordnung;</w:t>
      </w:r>
    </w:p>
    <w:p>
      <w:pPr>
        <w:pStyle w:val="Compact"/>
        <w:numPr>
          <w:ilvl w:val="0"/>
          <w:numId w:val="1019"/>
        </w:numPr>
      </w:pPr>
      <w:r>
        <w:rPr>
          <w:rFonts w:ascii="Calibri" w:hAnsi="Calibri" w:eastAsia="Calibri"/>
        </w:rPr>
        <w:t xml:space="preserve">Governance-Sunset kann nachträglich verschoben oder umgangen werden;</w:t>
      </w:r>
    </w:p>
    <w:p>
      <w:pPr>
        <w:pStyle w:val="Compact"/>
        <w:numPr>
          <w:ilvl w:val="0"/>
          <w:numId w:val="1019"/>
        </w:numPr>
      </w:pPr>
      <w:r>
        <w:rPr>
          <w:rFonts w:ascii="Calibri" w:hAnsi="Calibri" w:eastAsia="Calibri"/>
        </w:rPr>
        <w:t xml:space="preserve">Projekt wird politisch als verdeckter Grexit oder Sanktionsumgehung instrumentalisiert.</w:t>
      </w:r>
    </w:p>
    <w:bookmarkEnd w:id="82"/>
    <w:bookmarkStart w:id="83" w:name="Xb6e9654ee5861d3ac7330632f73366b48a1f79d"/>
    <w:p>
      <w:pPr>
        <w:pStyle w:val="Heading2"/>
      </w:pPr>
      <w:r>
        <w:rPr>
          <w:rFonts w:ascii="Calibri" w:hAnsi="Calibri" w:eastAsia="Calibri"/>
        </w:rPr>
        <w:t xml:space="preserve">11.5 Definition of Done für Phase 0</w:t>
      </w:r>
    </w:p>
    <w:p>
      <w:pPr>
        <w:pStyle w:val="FirstParagraph"/>
      </w:pPr>
      <w:r>
        <w:rPr>
          <w:rFonts w:ascii="Calibri" w:hAnsi="Calibri" w:eastAsia="Calibri"/>
        </w:rPr>
        <w:t xml:space="preserve">Phase 0 ist erfolgreich, wenn ein unabhängiges Team die Geldmenge aus Chain-Daten rekonstruiert, Formwechsel ohne Mengenerhöhung demonstriert, CashLot-Fehlzustände abweist, Offline-Risiko quantifiziert, Genesis-Rechte nachweislich terminiert und der Minister eine belastbare Rechts-/Makroentscheidung treffen kann. Erfolg ist</w:t>
      </w:r>
      <w:r>
        <w:rPr>
          <w:rFonts w:ascii="Calibri" w:hAnsi="Calibri" w:eastAsia="Calibri"/>
        </w:rPr>
        <w:t xml:space="preserve"> </w:t>
      </w:r>
      <w:r>
        <w:rPr>
          <w:rFonts w:ascii="Calibri" w:hAnsi="Calibri" w:eastAsia="Calibri"/>
          <w:b/>
          <w:bCs/>
        </w:rPr>
        <w:t xml:space="preserve">nicht</w:t>
      </w:r>
      <w:r>
        <w:rPr>
          <w:rFonts w:ascii="Calibri" w:hAnsi="Calibri" w:eastAsia="Calibri"/>
        </w:rPr>
        <w:t xml:space="preserve"> </w:t>
      </w:r>
      <w:r>
        <w:rPr>
          <w:rFonts w:ascii="Calibri" w:hAnsi="Calibri" w:eastAsia="Calibri"/>
        </w:rPr>
        <w:t xml:space="preserve">Marktkapitalisierung, Tokenpreis oder mediale Aufmerksamkeit.</w:t>
      </w:r>
    </w:p>
    <w:p>
      <w:pPr>
        <w:pStyle w:val="BodyText"/>
      </w:pPr>
      <w:r>
        <w:rPr>
          <w:rFonts w:ascii="Calibri" w:hAnsi="Calibri" w:eastAsia="Calibri"/>
        </w:rPr>
        <w:br w:type="page"/>
      </w:r>
    </w:p>
    <w:bookmarkEnd w:id="83"/>
    <w:bookmarkEnd w:id="84"/>
    <w:bookmarkStart w:id="88" w:name="X014f2c5fb62db78077818adfa6db628f761eb78"/>
    <w:p>
      <w:pPr>
        <w:pStyle w:val="Heading1"/>
      </w:pPr>
      <w:r>
        <w:rPr>
          <w:rFonts w:ascii="Calibri" w:hAnsi="Calibri" w:eastAsia="Calibri"/>
        </w:rPr>
        <w:t xml:space="preserve">12. Ministerialer Entscheidungsantrag</w:t>
      </w:r>
    </w:p>
    <w:bookmarkStart w:id="85" w:name="Xc5da86f107225280c5dd8ce9210ba697a80fd34"/>
    <w:p>
      <w:pPr>
        <w:pStyle w:val="Heading2"/>
      </w:pPr>
      <w:r>
        <w:rPr>
          <w:rFonts w:ascii="Calibri" w:hAnsi="Calibri" w:eastAsia="Calibri"/>
        </w:rPr>
        <w:t xml:space="preserve">12.1 Beantragter Beschluss</w:t>
      </w:r>
    </w:p>
    <w:p>
      <w:pPr>
        <w:pStyle w:val="FirstParagraph"/>
      </w:pPr>
      <w:r>
        <w:rPr>
          <w:rFonts w:ascii="Calibri" w:hAnsi="Calibri" w:eastAsia="Calibri"/>
        </w:rPr>
        <w:t xml:space="preserve">Das Ministerium möge:</w:t>
      </w:r>
    </w:p>
    <w:p>
      <w:pPr>
        <w:pStyle w:val="Compact"/>
        <w:numPr>
          <w:ilvl w:val="0"/>
          <w:numId w:val="1020"/>
        </w:numPr>
      </w:pPr>
      <w:r>
        <w:rPr>
          <w:rFonts w:ascii="Calibri" w:hAnsi="Calibri" w:eastAsia="Calibri"/>
        </w:rPr>
        <w:t xml:space="preserve">eine ressortübergreifende Machbarkeitsstudie „ΔΡΑΧ Phase 0“ für höchstens 18 Monate einrichten;</w:t>
      </w:r>
    </w:p>
    <w:p>
      <w:pPr>
        <w:pStyle w:val="Compact"/>
        <w:numPr>
          <w:ilvl w:val="0"/>
          <w:numId w:val="1020"/>
        </w:numPr>
      </w:pPr>
      <w:r>
        <w:rPr>
          <w:rFonts w:ascii="Calibri" w:hAnsi="Calibri" w:eastAsia="Calibri"/>
        </w:rPr>
        <w:t xml:space="preserve">ein Gesamtbudget von maximal 1,6 Mio. Euro unter meilensteinbasierter Freigabe vorsehen;</w:t>
      </w:r>
    </w:p>
    <w:p>
      <w:pPr>
        <w:pStyle w:val="Compact"/>
        <w:numPr>
          <w:ilvl w:val="0"/>
          <w:numId w:val="1020"/>
        </w:numPr>
      </w:pPr>
      <w:r>
        <w:rPr>
          <w:rFonts w:ascii="Calibri" w:hAnsi="Calibri" w:eastAsia="Calibri"/>
        </w:rPr>
        <w:t xml:space="preserve">BoG, HCMC, Datenschutzbehörde, Rechnungshof, Universitäten, Banken- und Inselvertreter zur Beobachtung einladen;</w:t>
      </w:r>
    </w:p>
    <w:p>
      <w:pPr>
        <w:pStyle w:val="Compact"/>
        <w:numPr>
          <w:ilvl w:val="0"/>
          <w:numId w:val="1020"/>
        </w:numPr>
      </w:pPr>
      <w:r>
        <w:rPr>
          <w:rFonts w:ascii="Calibri" w:hAnsi="Calibri" w:eastAsia="Calibri"/>
        </w:rPr>
        <w:t xml:space="preserve">ein wertloses Kaspa-Testnet-PoC und offene Referenzimplementierungen erlauben;</w:t>
      </w:r>
    </w:p>
    <w:p>
      <w:pPr>
        <w:pStyle w:val="Compact"/>
        <w:numPr>
          <w:ilvl w:val="0"/>
          <w:numId w:val="1020"/>
        </w:numPr>
      </w:pPr>
      <w:r>
        <w:rPr>
          <w:rFonts w:ascii="Calibri" w:hAnsi="Calibri" w:eastAsia="Calibri"/>
        </w:rPr>
        <w:t xml:space="preserve">ausdrücklich ausschließen: Mainnet-Wert, nationale Banknoten/Münzen mit Nennwert, Steuerannahme, öffentliche Schulden oder Legal-Tender-Werbung;</w:t>
      </w:r>
    </w:p>
    <w:p>
      <w:pPr>
        <w:pStyle w:val="Compact"/>
        <w:numPr>
          <w:ilvl w:val="0"/>
          <w:numId w:val="1020"/>
        </w:numPr>
      </w:pPr>
      <w:r>
        <w:rPr>
          <w:rFonts w:ascii="Calibri" w:hAnsi="Calibri" w:eastAsia="Calibri"/>
        </w:rPr>
        <w:t xml:space="preserve">nach Monat 9 einen Zwischenbeschluss und nach Monat 18 einen automatischen Projekt-Sunset verlangen;</w:t>
      </w:r>
    </w:p>
    <w:p>
      <w:pPr>
        <w:pStyle w:val="Compact"/>
        <w:numPr>
          <w:ilvl w:val="0"/>
          <w:numId w:val="1020"/>
        </w:numPr>
      </w:pPr>
      <w:r>
        <w:rPr>
          <w:rFonts w:ascii="Calibri" w:hAnsi="Calibri" w:eastAsia="Calibri"/>
        </w:rPr>
        <w:t xml:space="preserve">eine Fortsetzung nur durch neuen, gesonderten Ministerial- und gegebenenfalls Parlamentsbeschluss zulassen.</w:t>
      </w:r>
    </w:p>
    <w:bookmarkEnd w:id="85"/>
    <w:bookmarkStart w:id="86" w:name="Xdb7f83705524646f7f8ccde84c83a06ef126d90"/>
    <w:p>
      <w:pPr>
        <w:pStyle w:val="Heading2"/>
      </w:pPr>
      <w:r>
        <w:rPr>
          <w:rFonts w:ascii="Calibri" w:hAnsi="Calibri" w:eastAsia="Calibri"/>
        </w:rPr>
        <w:t xml:space="preserve">12.2 Nicht beantragte Entscheidungen</w:t>
      </w:r>
    </w:p>
    <w:p>
      <w:pPr>
        <w:pStyle w:val="FirstParagraph"/>
      </w:pPr>
      <w:r>
        <w:rPr>
          <w:rFonts w:ascii="Calibri" w:hAnsi="Calibri" w:eastAsia="Calibri"/>
        </w:rPr>
        <w:t xml:space="preserve">Nicht beantragt werden Währungsaustritt, Kapitalverkehrskontrollen, Bankenumstellung, Steuerdenomination, öffentlicher ΔΡΑΧ-Verkauf, Mainnet-Deployment, Ausgabe echter Banknoten/Münzen oder Anerkennung als gesetzliches Zahlungsmittel.</w:t>
      </w:r>
    </w:p>
    <w:bookmarkEnd w:id="86"/>
    <w:bookmarkStart w:id="87" w:name="Xe8f8005561a8a9e415cc756bee93ddbc0a3d39a"/>
    <w:p>
      <w:pPr>
        <w:pStyle w:val="Heading2"/>
      </w:pPr>
      <w:r>
        <w:rPr>
          <w:rFonts w:ascii="Calibri" w:hAnsi="Calibri" w:eastAsia="Calibri"/>
        </w:rPr>
        <w:t xml:space="preserve">12.3 Erwarteter Erkenntnisgewinn</w:t>
      </w:r>
    </w:p>
    <w:p>
      <w:pPr>
        <w:pStyle w:val="FirstParagraph"/>
      </w:pPr>
      <w:r>
        <w:rPr>
          <w:rFonts w:ascii="Calibri" w:hAnsi="Calibri" w:eastAsia="Calibri"/>
        </w:rPr>
        <w:t xml:space="preserve">Der Staat erhält für einen begrenzten Betrag eine prüfbare Antwort auf fünf Fragen: Kann die Geldmengenverfassung technisch gehalten werden? Kann physisches Geld ohne Doppelzählung angebunden werden? Ist Offline-Risiko begrenzbar? Ist ein legaler Forschungs-/Pilotpfad möglich? Welche makroökonomischen Kosten hätte eine harte Währung ohne Zentralbankelastizität?</w:t>
      </w:r>
    </w:p>
    <w:p>
      <w:pPr>
        <w:pStyle w:val="BodyText"/>
      </w:pPr>
      <w:r>
        <w:rPr>
          <w:rFonts w:ascii="Calibri" w:hAnsi="Calibri" w:eastAsia="Calibri"/>
        </w:rPr>
        <w:br w:type="page"/>
      </w:r>
    </w:p>
    <w:bookmarkEnd w:id="87"/>
    <w:bookmarkEnd w:id="88"/>
    <w:bookmarkStart w:id="89" w:name="X3e60b4cbca9020e9a113855b34e8be72c21505e"/>
    <w:p>
      <w:pPr>
        <w:pStyle w:val="Heading1"/>
      </w:pPr>
      <w:r>
        <w:rPr>
          <w:rFonts w:ascii="Calibri" w:hAnsi="Calibri" w:eastAsia="Calibri"/>
        </w:rPr>
        <w:t xml:space="preserve">13. Anhang A - Genesis- und Protokollparameter</w:t>
      </w:r>
    </w:p>
    <w:tbl>
      <w:tblPr>
        <w:tblStyle w:val="Table"/>
        <w:tblW w:type="auto" w:w="0"/>
        <w:jc w:val="center"/>
        <w:tblLayout w:type="autofit"/>
        <w:tblLook w:firstRow="1" w:lastRow="0" w:firstColumn="0" w:lastColumn="0" w:noHBand="0" w:noVBand="0" w:val="0020"/>
      </w:tblPr>
      <w:tblGrid>
        <w:gridCol w:w="2640"/>
        <w:gridCol w:w="2640"/>
        <w:gridCol w:w="2640"/>
      </w:tblGrid>
      <w:tr>
        <w:trPr>
          <w:tblHeader w:val="on"/>
        </w:trPr>
        <w:tc>
          <w:tcPr>
            <w:vAlign w:val="center"/>
            <w:tcMar>
              <w:top w:w="90" w:type="dxa"/>
              <w:start w:w="110" w:type="dxa"/>
              <w:bottom w:w="90" w:type="dxa"/>
              <w:end w:w="110" w:type="dxa"/>
            </w:tcMar>
            <w:shd w:fill="071426"/>
          </w:tcPr>
          <w:p>
            <w:pPr>
              <w:pStyle w:val="Compact"/>
              <w:spacing w:after="40"/>
              <w:jc w:val="left"/>
            </w:pPr>
            <w:r>
              <w:rPr>
                <w:rFonts w:ascii="Calibri" w:hAnsi="Calibri" w:eastAsia="Calibri"/>
                <w:b/>
                <w:color w:val="FFFFFF"/>
                <w:sz w:val="18"/>
              </w:rPr>
              <w:t xml:space="preserve">Parameter</w:t>
            </w:r>
          </w:p>
        </w:tc>
        <w:tc>
          <w:tcPr>
            <w:vAlign w:val="center"/>
            <w:tcMar>
              <w:top w:w="90" w:type="dxa"/>
              <w:start w:w="110" w:type="dxa"/>
              <w:bottom w:w="90" w:type="dxa"/>
              <w:end w:w="110" w:type="dxa"/>
            </w:tcMar>
            <w:shd w:fill="071426"/>
          </w:tcPr>
          <w:p>
            <w:pPr>
              <w:pStyle w:val="Compact"/>
              <w:spacing w:after="40"/>
              <w:jc w:val="left"/>
            </w:pPr>
            <w:r>
              <w:rPr>
                <w:rFonts w:ascii="Calibri" w:hAnsi="Calibri" w:eastAsia="Calibri"/>
                <w:b/>
                <w:color w:val="FFFFFF"/>
                <w:sz w:val="18"/>
              </w:rPr>
              <w:t xml:space="preserve">Arbeitswert</w:t>
            </w:r>
          </w:p>
        </w:tc>
        <w:tc>
          <w:tcPr>
            <w:vAlign w:val="center"/>
            <w:tcMar>
              <w:top w:w="90" w:type="dxa"/>
              <w:start w:w="110" w:type="dxa"/>
              <w:bottom w:w="90" w:type="dxa"/>
              <w:end w:w="110" w:type="dxa"/>
            </w:tcMar>
            <w:shd w:fill="071426"/>
          </w:tcPr>
          <w:p>
            <w:pPr>
              <w:pStyle w:val="Compact"/>
              <w:spacing w:after="40"/>
              <w:jc w:val="left"/>
            </w:pPr>
            <w:r>
              <w:rPr>
                <w:rFonts w:ascii="Calibri" w:hAnsi="Calibri" w:eastAsia="Calibri"/>
                <w:b/>
                <w:color w:val="FFFFFF"/>
                <w:sz w:val="18"/>
              </w:rPr>
              <w:t xml:space="preserve">Änderbarkeit</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M0</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90.000.000.000 ΔΡΑΧ</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nur vor Genesis</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Rmax</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9.000.000.000 ΔΡΑΧ</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nur vor Genesis; Null-Alternative testen</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Mmax</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99.000.000.000 ΔΡΑΧ</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unveränderlich</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Dezimalstellen</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8</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unveränderlich</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Security-Epoche</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4 Jahre</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unveränderlich</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Halbierung</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50 % je Epoche</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unveränderlich</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Genesis-Sunset</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spätestens 24 Monate nach wertlosem PoC; vor Wertstart neu zu fixieren</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nicht verlängerbar</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CashLot-Quorum</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3-von-5 Produktion; 4-von-7 Vernichtung</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parametrierbar vor Wertstart</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Offline-Gerätelimit</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150 ΔΡΑΧ</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gesetzlich/operativ senkbar, nicht über Kern erhöhbar</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Offline-Zahlung</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50 ΔΡΑΧ</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wie oben</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Offline-Sync</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72 Stunden</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wie oben</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Offline-Hops</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3</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wie oben</w:t>
            </w:r>
          </w:p>
        </w:tc>
      </w:tr>
    </w:tbl>
    <w:bookmarkEnd w:id="89"/>
    <w:bookmarkStart w:id="96" w:name="X9a0925da391b2f4802625f51e29851f04b28bc5"/>
    <w:p>
      <w:pPr>
        <w:pStyle w:val="Heading1"/>
      </w:pPr>
      <w:r>
        <w:rPr>
          <w:rFonts w:ascii="Calibri" w:hAnsi="Calibri" w:eastAsia="Calibri"/>
        </w:rPr>
        <w:t xml:space="preserve">14. Anhang B - Beispieltransaktionen</w:t>
      </w:r>
    </w:p>
    <w:bookmarkStart w:id="90" w:name="Xad4e8773973f32054bf3cf4ffb2cf4d389f8885"/>
    <w:p>
      <w:pPr>
        <w:pStyle w:val="Heading2"/>
      </w:pPr>
      <w:r>
        <w:rPr>
          <w:rFonts w:ascii="Calibri" w:hAnsi="Calibri" w:eastAsia="Calibri"/>
        </w:rPr>
        <w:t xml:space="preserve">14.1 Taverne auf Naxos, bar</w:t>
      </w:r>
    </w:p>
    <w:p>
      <w:pPr>
        <w:pStyle w:val="FirstParagraph"/>
      </w:pPr>
      <w:r>
        <w:rPr>
          <w:rFonts w:ascii="Calibri" w:hAnsi="Calibri" w:eastAsia="Calibri"/>
        </w:rPr>
        <w:t xml:space="preserve">Der Händler nimmt eine 20-ΔΡΑΧ-Note an, prüft Sicherheitsmerkmale und optional Serienstatus. Es entsteht keine on-chain Transaktion. Die Note bleibt Teil P. Am Tagesende kann sie als Wechselgeld umlaufen oder bei einer Bank eingezahlt werden.</w:t>
      </w:r>
    </w:p>
    <w:bookmarkEnd w:id="90"/>
    <w:bookmarkStart w:id="91" w:name="X5c6dbf23a8b71e48f4edd5c150a170abc438b9a"/>
    <w:p>
      <w:pPr>
        <w:pStyle w:val="Heading2"/>
      </w:pPr>
      <w:r>
        <w:rPr>
          <w:rFonts w:ascii="Calibri" w:hAnsi="Calibri" w:eastAsia="Calibri"/>
        </w:rPr>
        <w:t xml:space="preserve">14.2 Einzahlung einer Note</w:t>
      </w:r>
    </w:p>
    <w:p>
      <w:pPr>
        <w:pStyle w:val="FirstParagraph"/>
      </w:pPr>
      <w:r>
        <w:rPr>
          <w:rFonts w:ascii="Calibri" w:hAnsi="Calibri" w:eastAsia="Calibri"/>
        </w:rPr>
        <w:t xml:space="preserve">Die Bank prüft die Note, markiert sie „Returned/Pending“, entwertet sie und übergibt sie an eine kontrollierte Vernichtung. Erst nach Quorum-Attest wird 20 ΔΡΑΧ aus dem zugehörigen CashLot freigegeben und an die Wallet des Einzahlers übertragen. S bleibt unverändert.</w:t>
      </w:r>
    </w:p>
    <w:bookmarkEnd w:id="91"/>
    <w:bookmarkStart w:id="92" w:name="Xcba41b2f0e1fdf52599ccc382db17ca60137943"/>
    <w:p>
      <w:pPr>
        <w:pStyle w:val="Heading2"/>
      </w:pPr>
      <w:r>
        <w:rPr>
          <w:rFonts w:ascii="Calibri" w:hAnsi="Calibri" w:eastAsia="Calibri"/>
        </w:rPr>
        <w:t xml:space="preserve">14.3 Digitaler Transfer</w:t>
      </w:r>
    </w:p>
    <w:p>
      <w:pPr>
        <w:pStyle w:val="FirstParagraph"/>
      </w:pPr>
      <w:r>
        <w:rPr>
          <w:rFonts w:ascii="Calibri" w:hAnsi="Calibri" w:eastAsia="Calibri"/>
        </w:rPr>
        <w:t xml:space="preserve">Eine Wallet konsumiert einen 100-ΔΡΑΧ-Bearer-UTXO und erzeugt 35 ΔΡΑΧ an den Empfänger sowie 65 ΔΡΑΧ Change. KAS bezahlt die Netzwerkgebühr. Kein Register aktualisiert eine Kontobilanz; die UTXO-Nachfolger beweisen Wertkonservation.</w:t>
      </w:r>
    </w:p>
    <w:bookmarkEnd w:id="92"/>
    <w:bookmarkStart w:id="93" w:name="X6c68bc50c6c09e83fdfa0c7aab7ddbb5bdf09f6"/>
    <w:p>
      <w:pPr>
        <w:pStyle w:val="Heading2"/>
      </w:pPr>
      <w:r>
        <w:rPr>
          <w:rFonts w:ascii="Calibri" w:hAnsi="Calibri" w:eastAsia="Calibri"/>
        </w:rPr>
        <w:t xml:space="preserve">14.4 Offline-Fähre</w:t>
      </w:r>
    </w:p>
    <w:p>
      <w:pPr>
        <w:pStyle w:val="FirstParagraph"/>
      </w:pPr>
      <w:r>
        <w:rPr>
          <w:rFonts w:ascii="Calibri" w:hAnsi="Calibri" w:eastAsia="Calibri"/>
        </w:rPr>
        <w:t xml:space="preserve">Ein Reisender sperrt 80 ΔΡΑΧ online in OfflineLock. Auf der Fähre überträgt das Secure Element 12 ΔΡΑΧ an das Terminal. Der Händler sieht „offline pending“. Nach WLAN-Verbindung reichen beide Geräte die signierte Übergabekette ein; der Händler erhält einen on-chain Bearer Output.</w:t>
      </w:r>
    </w:p>
    <w:bookmarkEnd w:id="93"/>
    <w:bookmarkStart w:id="94" w:name="X8e8e5883cf1ba982c674d00fb278809aece76e5"/>
    <w:p>
      <w:pPr>
        <w:pStyle w:val="Heading2"/>
      </w:pPr>
      <w:r>
        <w:rPr>
          <w:rFonts w:ascii="Calibri" w:hAnsi="Calibri" w:eastAsia="Calibri"/>
        </w:rPr>
        <w:t xml:space="preserve">14.5 Diaspora-Überweisung</w:t>
      </w:r>
    </w:p>
    <w:p>
      <w:pPr>
        <w:pStyle w:val="FirstParagraph"/>
      </w:pPr>
      <w:r>
        <w:rPr>
          <w:rFonts w:ascii="Calibri" w:hAnsi="Calibri" w:eastAsia="Calibri"/>
        </w:rPr>
        <w:t xml:space="preserve">Ein regulierter Anbieter kauft ΔΡΑΧ am freien Markt und sendet sie an eine Self-Custody-Wallet in Griechenland. Es gibt keinen offiziellen EUR-Kurs. Der Anbieter erfüllt KYC/Travel-Rule-Pflichten, soweit anwendbar; der Empfänger kann digital halten oder über einen Cash Agent physische Einheiten beziehen.</w:t>
      </w:r>
    </w:p>
    <w:bookmarkEnd w:id="94"/>
    <w:bookmarkStart w:id="95" w:name="Xd31042979a6a0474123055b7f8da178fcaeadfd"/>
    <w:p>
      <w:pPr>
        <w:pStyle w:val="Heading2"/>
      </w:pPr>
      <w:r>
        <w:rPr>
          <w:rFonts w:ascii="Calibri" w:hAnsi="Calibri" w:eastAsia="Calibri"/>
        </w:rPr>
        <w:t xml:space="preserve">14.6 Kaspa-Störung</w:t>
      </w:r>
    </w:p>
    <w:p>
      <w:pPr>
        <w:pStyle w:val="FirstParagraph"/>
      </w:pPr>
      <w:r>
        <w:rPr>
          <w:rFonts w:ascii="Calibri" w:hAnsi="Calibri" w:eastAsia="Calibri"/>
        </w:rPr>
        <w:t xml:space="preserve">Bei schwerer Reorganisation pausieren Cash Utility und regulierte Ausgabestellen lokal neue CashLots und große Abhebungen. Bearer-UTXOs werden nicht zentral eingefroren. Nach finaler Kettenwahl rekonstruieren unabhängige Indexer die Zustände. Ein gesetzlicher Migrationsevent wäre ein separater, öffentlicher Prozess.</w:t>
      </w:r>
    </w:p>
    <w:p>
      <w:pPr>
        <w:pStyle w:val="BodyText"/>
      </w:pPr>
      <w:r>
        <w:rPr>
          <w:rFonts w:ascii="Calibri" w:hAnsi="Calibri" w:eastAsia="Calibri"/>
        </w:rPr>
        <w:br w:type="page"/>
      </w:r>
    </w:p>
    <w:bookmarkEnd w:id="95"/>
    <w:bookmarkEnd w:id="96"/>
    <w:bookmarkStart w:id="97" w:name="X1cc9c045402846cdf4729d77f9af096736cb32a"/>
    <w:p>
      <w:pPr>
        <w:pStyle w:val="Heading1"/>
      </w:pPr>
      <w:r>
        <w:rPr>
          <w:rFonts w:ascii="Calibri" w:hAnsi="Calibri" w:eastAsia="Calibri"/>
        </w:rPr>
        <w:t xml:space="preserve">15. Anhang C - Glossar</w:t>
      </w:r>
    </w:p>
    <w:p>
      <w:pPr>
        <w:pStyle w:val="FirstParagraph"/>
      </w:pPr>
      <w:r>
        <w:rPr>
          <w:rFonts w:ascii="Calibri" w:hAnsi="Calibri" w:eastAsia="Calibri"/>
          <w:b/>
          <w:bCs/>
        </w:rPr>
        <w:t xml:space="preserve">Bearer Asset:</w:t>
      </w:r>
      <w:r>
        <w:rPr>
          <w:rFonts w:ascii="Calibri" w:hAnsi="Calibri" w:eastAsia="Calibri"/>
        </w:rPr>
        <w:t xml:space="preserve"> </w:t>
      </w:r>
      <w:r>
        <w:rPr>
          <w:rFonts w:ascii="Calibri" w:hAnsi="Calibri" w:eastAsia="Calibri"/>
        </w:rPr>
        <w:t xml:space="preserve">Vermögenswert, dessen Verfügung durch Besitz des kryptographischen Ausgaberechts bestimmt wird.</w:t>
      </w:r>
      <w:r>
        <w:rPr>
          <w:rFonts w:ascii="Calibri" w:hAnsi="Calibri" w:eastAsia="Calibri"/>
        </w:rPr>
        <w:br/>
      </w:r>
      <w:r>
        <w:rPr>
          <w:rFonts w:ascii="Calibri" w:hAnsi="Calibri" w:eastAsia="Calibri"/>
          <w:b/>
          <w:bCs/>
        </w:rPr>
        <w:t xml:space="preserve">CashLot:</w:t>
      </w:r>
      <w:r>
        <w:rPr>
          <w:rFonts w:ascii="Calibri" w:hAnsi="Calibri" w:eastAsia="Calibri"/>
        </w:rPr>
        <w:t xml:space="preserve"> </w:t>
      </w:r>
      <w:r>
        <w:rPr>
          <w:rFonts w:ascii="Calibri" w:hAnsi="Calibri" w:eastAsia="Calibri"/>
        </w:rPr>
        <w:t xml:space="preserve">On-chain Sperrposition, die eine klar definierte physische Charge deckt.</w:t>
      </w:r>
      <w:r>
        <w:rPr>
          <w:rFonts w:ascii="Calibri" w:hAnsi="Calibri" w:eastAsia="Calibri"/>
        </w:rPr>
        <w:br/>
      </w:r>
      <w:r>
        <w:rPr>
          <w:rFonts w:ascii="Calibri" w:hAnsi="Calibri" w:eastAsia="Calibri"/>
          <w:b/>
          <w:bCs/>
        </w:rPr>
        <w:t xml:space="preserve">Covenant:</w:t>
      </w:r>
      <w:r>
        <w:rPr>
          <w:rFonts w:ascii="Calibri" w:hAnsi="Calibri" w:eastAsia="Calibri"/>
        </w:rPr>
        <w:t xml:space="preserve"> </w:t>
      </w:r>
      <w:r>
        <w:rPr>
          <w:rFonts w:ascii="Calibri" w:hAnsi="Calibri" w:eastAsia="Calibri"/>
        </w:rPr>
        <w:t xml:space="preserve">Scriptbedingung, die nicht nur den aktuellen Spend, sondern Eigenschaften zulässiger Nachfolger festlegt.</w:t>
      </w:r>
      <w:r>
        <w:rPr>
          <w:rFonts w:ascii="Calibri" w:hAnsi="Calibri" w:eastAsia="Calibri"/>
        </w:rPr>
        <w:br/>
      </w:r>
      <w:r>
        <w:rPr>
          <w:rFonts w:ascii="Calibri" w:hAnsi="Calibri" w:eastAsia="Calibri"/>
          <w:b/>
          <w:bCs/>
        </w:rPr>
        <w:t xml:space="preserve">D/P/O/E:</w:t>
      </w:r>
      <w:r>
        <w:rPr>
          <w:rFonts w:ascii="Calibri" w:hAnsi="Calibri" w:eastAsia="Calibri"/>
        </w:rPr>
        <w:t xml:space="preserve"> </w:t>
      </w:r>
      <w:r>
        <w:rPr>
          <w:rFonts w:ascii="Calibri" w:hAnsi="Calibri" w:eastAsia="Calibri"/>
        </w:rPr>
        <w:t xml:space="preserve">Teilmengen digital frei, physisch gebunden, offline gebunden und Sonderzustände.</w:t>
      </w:r>
      <w:r>
        <w:rPr>
          <w:rFonts w:ascii="Calibri" w:hAnsi="Calibri" w:eastAsia="Calibri"/>
        </w:rPr>
        <w:br/>
      </w:r>
      <w:r>
        <w:rPr>
          <w:rFonts w:ascii="Calibri" w:hAnsi="Calibri" w:eastAsia="Calibri"/>
          <w:b/>
          <w:bCs/>
        </w:rPr>
        <w:t xml:space="preserve">Genesis Steward:</w:t>
      </w:r>
      <w:r>
        <w:rPr>
          <w:rFonts w:ascii="Calibri" w:hAnsi="Calibri" w:eastAsia="Calibri"/>
        </w:rPr>
        <w:t xml:space="preserve"> </w:t>
      </w:r>
      <w:r>
        <w:rPr>
          <w:rFonts w:ascii="Calibri" w:hAnsi="Calibri" w:eastAsia="Calibri"/>
        </w:rPr>
        <w:t xml:space="preserve">befristeter technischer Startoperator ohne dauerhafte Währungshoheit.</w:t>
      </w:r>
      <w:r>
        <w:rPr>
          <w:rFonts w:ascii="Calibri" w:hAnsi="Calibri" w:eastAsia="Calibri"/>
        </w:rPr>
        <w:br/>
      </w:r>
      <w:r>
        <w:rPr>
          <w:rFonts w:ascii="Calibri" w:hAnsi="Calibri" w:eastAsia="Calibri"/>
          <w:b/>
          <w:bCs/>
        </w:rPr>
        <w:t xml:space="preserve">Legal Tender:</w:t>
      </w:r>
      <w:r>
        <w:rPr>
          <w:rFonts w:ascii="Calibri" w:hAnsi="Calibri" w:eastAsia="Calibri"/>
        </w:rPr>
        <w:t xml:space="preserve"> </w:t>
      </w:r>
      <w:r>
        <w:rPr>
          <w:rFonts w:ascii="Calibri" w:hAnsi="Calibri" w:eastAsia="Calibri"/>
        </w:rPr>
        <w:t xml:space="preserve">gesetzliches Zahlungsmittel mit den jeweiligen gesetzlichen Annahmewirkungen.</w:t>
      </w:r>
      <w:r>
        <w:rPr>
          <w:rFonts w:ascii="Calibri" w:hAnsi="Calibri" w:eastAsia="Calibri"/>
        </w:rPr>
        <w:br/>
      </w:r>
      <w:r>
        <w:rPr>
          <w:rFonts w:ascii="Calibri" w:hAnsi="Calibri" w:eastAsia="Calibri"/>
          <w:b/>
          <w:bCs/>
        </w:rPr>
        <w:t xml:space="preserve">Mmax:</w:t>
      </w:r>
      <w:r>
        <w:rPr>
          <w:rFonts w:ascii="Calibri" w:hAnsi="Calibri" w:eastAsia="Calibri"/>
        </w:rPr>
        <w:t xml:space="preserve"> </w:t>
      </w:r>
      <w:r>
        <w:rPr>
          <w:rFonts w:ascii="Calibri" w:hAnsi="Calibri" w:eastAsia="Calibri"/>
        </w:rPr>
        <w:t xml:space="preserve">absolute protokollseitige Maximalmenge.</w:t>
      </w:r>
      <w:r>
        <w:rPr>
          <w:rFonts w:ascii="Calibri" w:hAnsi="Calibri" w:eastAsia="Calibri"/>
        </w:rPr>
        <w:br/>
      </w:r>
      <w:r>
        <w:rPr>
          <w:rFonts w:ascii="Calibri" w:hAnsi="Calibri" w:eastAsia="Calibri"/>
          <w:b/>
          <w:bCs/>
        </w:rPr>
        <w:t xml:space="preserve">Narrow Banking:</w:t>
      </w:r>
      <w:r>
        <w:rPr>
          <w:rFonts w:ascii="Calibri" w:hAnsi="Calibri" w:eastAsia="Calibri"/>
        </w:rPr>
        <w:t xml:space="preserve"> </w:t>
      </w:r>
      <w:r>
        <w:rPr>
          <w:rFonts w:ascii="Calibri" w:hAnsi="Calibri" w:eastAsia="Calibri"/>
        </w:rPr>
        <w:t xml:space="preserve">Trennung voll gedeckter Zahlungsguthaben von risikotragender Kreditfinanzierung.</w:t>
      </w:r>
      <w:r>
        <w:rPr>
          <w:rFonts w:ascii="Calibri" w:hAnsi="Calibri" w:eastAsia="Calibri"/>
        </w:rPr>
        <w:br/>
      </w:r>
      <w:r>
        <w:rPr>
          <w:rFonts w:ascii="Calibri" w:hAnsi="Calibri" w:eastAsia="Calibri"/>
          <w:b/>
          <w:bCs/>
        </w:rPr>
        <w:t xml:space="preserve">OfflineLock:</w:t>
      </w:r>
      <w:r>
        <w:rPr>
          <w:rFonts w:ascii="Calibri" w:hAnsi="Calibri" w:eastAsia="Calibri"/>
        </w:rPr>
        <w:t xml:space="preserve"> </w:t>
      </w:r>
      <w:r>
        <w:rPr>
          <w:rFonts w:ascii="Calibri" w:hAnsi="Calibri" w:eastAsia="Calibri"/>
        </w:rPr>
        <w:t xml:space="preserve">vorfinanzierter on-chain Lock für begrenzte Offline-Transfers.</w:t>
      </w:r>
      <w:r>
        <w:rPr>
          <w:rFonts w:ascii="Calibri" w:hAnsi="Calibri" w:eastAsia="Calibri"/>
        </w:rPr>
        <w:br/>
      </w:r>
      <w:r>
        <w:rPr>
          <w:rFonts w:ascii="Calibri" w:hAnsi="Calibri" w:eastAsia="Calibri"/>
          <w:b/>
          <w:bCs/>
        </w:rPr>
        <w:t xml:space="preserve">Self-Custody:</w:t>
      </w:r>
      <w:r>
        <w:rPr>
          <w:rFonts w:ascii="Calibri" w:hAnsi="Calibri" w:eastAsia="Calibri"/>
        </w:rPr>
        <w:t xml:space="preserve"> </w:t>
      </w:r>
      <w:r>
        <w:rPr>
          <w:rFonts w:ascii="Calibri" w:hAnsi="Calibri" w:eastAsia="Calibri"/>
        </w:rPr>
        <w:t xml:space="preserve">Nutzer kontrolliert seine Ausgabeschlüssel selbst.</w:t>
      </w:r>
      <w:r>
        <w:rPr>
          <w:rFonts w:ascii="Calibri" w:hAnsi="Calibri" w:eastAsia="Calibri"/>
        </w:rPr>
        <w:br/>
      </w:r>
      <w:r>
        <w:rPr>
          <w:rFonts w:ascii="Calibri" w:hAnsi="Calibri" w:eastAsia="Calibri"/>
          <w:b/>
          <w:bCs/>
        </w:rPr>
        <w:t xml:space="preserve">Sunset/Key Burn:</w:t>
      </w:r>
      <w:r>
        <w:rPr>
          <w:rFonts w:ascii="Calibri" w:hAnsi="Calibri" w:eastAsia="Calibri"/>
        </w:rPr>
        <w:t xml:space="preserve"> </w:t>
      </w:r>
      <w:r>
        <w:rPr>
          <w:rFonts w:ascii="Calibri" w:hAnsi="Calibri" w:eastAsia="Calibri"/>
        </w:rPr>
        <w:t xml:space="preserve">technisch nachweisbarer und nicht verlängerbarer Ablauf privilegierter Rechte.</w:t>
      </w:r>
      <w:r>
        <w:rPr>
          <w:rFonts w:ascii="Calibri" w:hAnsi="Calibri" w:eastAsia="Calibri"/>
        </w:rPr>
        <w:br/>
      </w:r>
      <w:r>
        <w:rPr>
          <w:rFonts w:ascii="Calibri" w:hAnsi="Calibri" w:eastAsia="Calibri"/>
          <w:b/>
          <w:bCs/>
        </w:rPr>
        <w:t xml:space="preserve">Toccata:</w:t>
      </w:r>
      <w:r>
        <w:rPr>
          <w:rFonts w:ascii="Calibri" w:hAnsi="Calibri" w:eastAsia="Calibri"/>
        </w:rPr>
        <w:t xml:space="preserve"> </w:t>
      </w:r>
      <w:r>
        <w:rPr>
          <w:rFonts w:ascii="Calibri" w:hAnsi="Calibri" w:eastAsia="Calibri"/>
        </w:rPr>
        <w:t xml:space="preserve">Kaspa-Programmability-Stack mit UTXO-nativen Covenants und weiteren Ausführungsprimitiven.</w:t>
      </w:r>
    </w:p>
    <w:bookmarkEnd w:id="97"/>
    <w:bookmarkStart w:id="114" w:name="X355040744385f39baab3b3f0a54f5a6e0c5276b"/>
    <w:p>
      <w:pPr>
        <w:pStyle w:val="Heading1"/>
      </w:pPr>
      <w:r>
        <w:rPr>
          <w:rFonts w:ascii="Calibri" w:hAnsi="Calibri" w:eastAsia="Calibri"/>
        </w:rPr>
        <w:t xml:space="preserve">16. Anhang D - Quellen- und Verifikationsregister</w:t>
      </w:r>
    </w:p>
    <w:p>
      <w:pPr>
        <w:pStyle w:val="Compact"/>
        <w:numPr>
          <w:ilvl w:val="0"/>
          <w:numId w:val="1021"/>
        </w:numPr>
      </w:pPr>
      <w:r>
        <w:rPr>
          <w:rFonts w:ascii="Calibri" w:hAnsi="Calibri" w:eastAsia="Calibri"/>
          <w:b/>
          <w:bCs/>
        </w:rPr>
        <w:t xml:space="preserve">Kaspa Docs, Toccata Dev Guide und Agent Brief.</w:t>
      </w:r>
      <w:r>
        <w:rPr>
          <w:rFonts w:ascii="Calibri" w:hAnsi="Calibri" w:eastAsia="Calibri"/>
        </w:rPr>
        <w:t xml:space="preserve"> </w:t>
      </w:r>
      <w:r>
        <w:rPr>
          <w:rFonts w:ascii="Calibri" w:hAnsi="Calibri" w:eastAsia="Calibri"/>
        </w:rPr>
        <w:t xml:space="preserve">Hauptquelle für Mainnet-Aktivierung, UTXO-native Covenants und Entwicklungsmodell.</w:t>
      </w:r>
      <w:r>
        <w:rPr>
          <w:rFonts w:ascii="Calibri" w:hAnsi="Calibri" w:eastAsia="Calibri"/>
        </w:rPr>
        <w:t xml:space="preserve"> </w:t>
      </w:r>
      <w:hyperlink r:id="rId98">
        <w:r>
          <w:rPr>
            <w:rStyle w:val="Hyperlink"/>
          </w:rPr>
          <w:t xml:space="preserve">https://docs.kaspa.org/toccata</w:t>
        </w:r>
      </w:hyperlink>
      <w:r>
        <w:rPr>
          <w:rFonts w:ascii="Calibri" w:hAnsi="Calibri" w:eastAsia="Calibri"/>
        </w:rPr>
        <w:t xml:space="preserve"> </w:t>
      </w:r>
      <w:r>
        <w:rPr>
          <w:rFonts w:ascii="Calibri" w:hAnsi="Calibri" w:eastAsia="Calibri"/>
        </w:rPr>
        <w:t xml:space="preserve">und</w:t>
      </w:r>
      <w:r>
        <w:rPr>
          <w:rFonts w:ascii="Calibri" w:hAnsi="Calibri" w:eastAsia="Calibri"/>
        </w:rPr>
        <w:t xml:space="preserve"> </w:t>
      </w:r>
      <w:hyperlink r:id="rId99">
        <w:r>
          <w:rPr>
            <w:rStyle w:val="Hyperlink"/>
          </w:rPr>
          <w:t xml:space="preserve">https://docs.kaspa.org/toccata/agent-brief</w:t>
        </w:r>
      </w:hyperlink>
    </w:p>
    <w:p>
      <w:pPr>
        <w:pStyle w:val="Compact"/>
        <w:numPr>
          <w:ilvl w:val="0"/>
          <w:numId w:val="1021"/>
        </w:numPr>
      </w:pPr>
      <w:r>
        <w:rPr>
          <w:rFonts w:ascii="Calibri" w:hAnsi="Calibri" w:eastAsia="Calibri"/>
          <w:b/>
          <w:bCs/>
        </w:rPr>
        <w:t xml:space="preserve">Kaspanet, Silverscript Repository.</w:t>
      </w:r>
      <w:r>
        <w:rPr>
          <w:rFonts w:ascii="Calibri" w:hAnsi="Calibri" w:eastAsia="Calibri"/>
        </w:rPr>
        <w:t xml:space="preserve"> </w:t>
      </w:r>
      <w:r>
        <w:rPr>
          <w:rFonts w:ascii="Calibri" w:hAnsi="Calibri" w:eastAsia="Calibri"/>
        </w:rPr>
        <w:t xml:space="preserve">Compiler-/Sprachstatus und Testnet-/Reifehinweise sind vor jeder Implementierung erneut zu prüfen.</w:t>
      </w:r>
      <w:r>
        <w:rPr>
          <w:rFonts w:ascii="Calibri" w:hAnsi="Calibri" w:eastAsia="Calibri"/>
        </w:rPr>
        <w:t xml:space="preserve"> </w:t>
      </w:r>
      <w:hyperlink r:id="rId100">
        <w:r>
          <w:rPr>
            <w:rStyle w:val="Hyperlink"/>
          </w:rPr>
          <w:t xml:space="preserve">https://github.com/kaspanet/silverscript</w:t>
        </w:r>
      </w:hyperlink>
    </w:p>
    <w:p>
      <w:pPr>
        <w:pStyle w:val="Compact"/>
        <w:numPr>
          <w:ilvl w:val="0"/>
          <w:numId w:val="1021"/>
        </w:numPr>
      </w:pPr>
      <w:r>
        <w:rPr>
          <w:rFonts w:ascii="Calibri" w:hAnsi="Calibri" w:eastAsia="Calibri"/>
          <w:b/>
          <w:bCs/>
        </w:rPr>
        <w:t xml:space="preserve">Kaspanet, vProgs Repository.</w:t>
      </w:r>
      <w:r>
        <w:rPr>
          <w:rFonts w:ascii="Calibri" w:hAnsi="Calibri" w:eastAsia="Calibri"/>
        </w:rPr>
        <w:t xml:space="preserve"> </w:t>
      </w:r>
      <w:r>
        <w:rPr>
          <w:rFonts w:ascii="Calibri" w:hAnsi="Calibri" w:eastAsia="Calibri"/>
        </w:rPr>
        <w:t xml:space="preserve">Reife- und Prototypstatus based applications.</w:t>
      </w:r>
      <w:r>
        <w:rPr>
          <w:rFonts w:ascii="Calibri" w:hAnsi="Calibri" w:eastAsia="Calibri"/>
        </w:rPr>
        <w:t xml:space="preserve"> </w:t>
      </w:r>
      <w:hyperlink r:id="rId101">
        <w:r>
          <w:rPr>
            <w:rStyle w:val="Hyperlink"/>
          </w:rPr>
          <w:t xml:space="preserve">https://github.com/kaspanet/vprogs</w:t>
        </w:r>
      </w:hyperlink>
    </w:p>
    <w:p>
      <w:pPr>
        <w:pStyle w:val="Compact"/>
        <w:numPr>
          <w:ilvl w:val="0"/>
          <w:numId w:val="1021"/>
        </w:numPr>
      </w:pPr>
      <w:r>
        <w:rPr>
          <w:rFonts w:ascii="Calibri" w:hAnsi="Calibri" w:eastAsia="Calibri"/>
          <w:b/>
          <w:bCs/>
        </w:rPr>
        <w:t xml:space="preserve">AEUV Art. 128.</w:t>
      </w:r>
      <w:r>
        <w:rPr>
          <w:rFonts w:ascii="Calibri" w:hAnsi="Calibri" w:eastAsia="Calibri"/>
        </w:rPr>
        <w:t xml:space="preserve"> </w:t>
      </w:r>
      <w:r>
        <w:rPr>
          <w:rFonts w:ascii="Calibri" w:hAnsi="Calibri" w:eastAsia="Calibri"/>
        </w:rPr>
        <w:t xml:space="preserve">Euro-Banknoten, Genehmigungszuständigkeit und Legal-Tender-Status.</w:t>
      </w:r>
      <w:r>
        <w:rPr>
          <w:rFonts w:ascii="Calibri" w:hAnsi="Calibri" w:eastAsia="Calibri"/>
        </w:rPr>
        <w:t xml:space="preserve"> </w:t>
      </w:r>
      <w:hyperlink r:id="rId102">
        <w:r>
          <w:rPr>
            <w:rStyle w:val="Hyperlink"/>
          </w:rPr>
          <w:t xml:space="preserve">https://eur-lex.europa.eu/eli/treaty/tfeu_2012/art_128/oj/deu</w:t>
        </w:r>
      </w:hyperlink>
    </w:p>
    <w:p>
      <w:pPr>
        <w:pStyle w:val="Compact"/>
        <w:numPr>
          <w:ilvl w:val="0"/>
          <w:numId w:val="1021"/>
        </w:numPr>
      </w:pPr>
      <w:r>
        <w:rPr>
          <w:rFonts w:ascii="Calibri" w:hAnsi="Calibri" w:eastAsia="Calibri"/>
          <w:b/>
          <w:bCs/>
        </w:rPr>
        <w:t xml:space="preserve">Verordnung (EG) Nr. 974/98.</w:t>
      </w:r>
      <w:r>
        <w:rPr>
          <w:rFonts w:ascii="Calibri" w:hAnsi="Calibri" w:eastAsia="Calibri"/>
        </w:rPr>
        <w:t xml:space="preserve"> </w:t>
      </w:r>
      <w:r>
        <w:rPr>
          <w:rFonts w:ascii="Calibri" w:hAnsi="Calibri" w:eastAsia="Calibri"/>
        </w:rPr>
        <w:t xml:space="preserve">Einführung des Euro und Währungsrahmen der teilnehmenden Mitgliedstaaten.</w:t>
      </w:r>
      <w:r>
        <w:rPr>
          <w:rFonts w:ascii="Calibri" w:hAnsi="Calibri" w:eastAsia="Calibri"/>
        </w:rPr>
        <w:t xml:space="preserve"> </w:t>
      </w:r>
      <w:hyperlink r:id="rId103">
        <w:r>
          <w:rPr>
            <w:rStyle w:val="Hyperlink"/>
          </w:rPr>
          <w:t xml:space="preserve">https://eur-lex.europa.eu/eli/reg/1998/974/oj</w:t>
        </w:r>
      </w:hyperlink>
    </w:p>
    <w:p>
      <w:pPr>
        <w:pStyle w:val="Compact"/>
        <w:numPr>
          <w:ilvl w:val="0"/>
          <w:numId w:val="1021"/>
        </w:numPr>
      </w:pPr>
      <w:r>
        <w:rPr>
          <w:rFonts w:ascii="Calibri" w:hAnsi="Calibri" w:eastAsia="Calibri"/>
          <w:b/>
          <w:bCs/>
        </w:rPr>
        <w:t xml:space="preserve">Verordnung (EU) 2023/1114 (MiCA).</w:t>
      </w:r>
      <w:r>
        <w:rPr>
          <w:rFonts w:ascii="Calibri" w:hAnsi="Calibri" w:eastAsia="Calibri"/>
        </w:rPr>
        <w:t xml:space="preserve"> </w:t>
      </w:r>
      <w:r>
        <w:rPr>
          <w:rFonts w:ascii="Calibri" w:hAnsi="Calibri" w:eastAsia="Calibri"/>
        </w:rPr>
        <w:t xml:space="preserve">Krypto-Asset-Regulierung.</w:t>
      </w:r>
      <w:r>
        <w:rPr>
          <w:rFonts w:ascii="Calibri" w:hAnsi="Calibri" w:eastAsia="Calibri"/>
        </w:rPr>
        <w:t xml:space="preserve"> </w:t>
      </w:r>
      <w:hyperlink r:id="rId104">
        <w:r>
          <w:rPr>
            <w:rStyle w:val="Hyperlink"/>
          </w:rPr>
          <w:t xml:space="preserve">https://eur-lex.europa.eu/eli/reg/2023/1114/oj</w:t>
        </w:r>
      </w:hyperlink>
    </w:p>
    <w:p>
      <w:pPr>
        <w:pStyle w:val="Compact"/>
        <w:numPr>
          <w:ilvl w:val="0"/>
          <w:numId w:val="1021"/>
        </w:numPr>
      </w:pPr>
      <w:r>
        <w:rPr>
          <w:rFonts w:ascii="Calibri" w:hAnsi="Calibri" w:eastAsia="Calibri"/>
          <w:b/>
          <w:bCs/>
        </w:rPr>
        <w:t xml:space="preserve">Bank of Greece, MiCA.</w:t>
      </w:r>
      <w:r>
        <w:rPr>
          <w:rFonts w:ascii="Calibri" w:hAnsi="Calibri" w:eastAsia="Calibri"/>
        </w:rPr>
        <w:t xml:space="preserve"> </w:t>
      </w:r>
      <w:r>
        <w:rPr>
          <w:rFonts w:ascii="Calibri" w:hAnsi="Calibri" w:eastAsia="Calibri"/>
        </w:rPr>
        <w:t xml:space="preserve">Law 5193/2025, zuständige Behörden und BoG-Kompetenzen.</w:t>
      </w:r>
      <w:r>
        <w:rPr>
          <w:rFonts w:ascii="Calibri" w:hAnsi="Calibri" w:eastAsia="Calibri"/>
        </w:rPr>
        <w:t xml:space="preserve"> </w:t>
      </w:r>
      <w:hyperlink r:id="rId105">
        <w:r>
          <w:rPr>
            <w:rStyle w:val="Hyperlink"/>
          </w:rPr>
          <w:t xml:space="preserve">https://www.bankofgreece.gr/en/main-tasks/supervision/regulation-eu-2023_1114-on-markets-in-crypto-assets</w:t>
        </w:r>
      </w:hyperlink>
    </w:p>
    <w:p>
      <w:pPr>
        <w:pStyle w:val="Compact"/>
        <w:numPr>
          <w:ilvl w:val="0"/>
          <w:numId w:val="1021"/>
        </w:numPr>
      </w:pPr>
      <w:r>
        <w:rPr>
          <w:rFonts w:ascii="Calibri" w:hAnsi="Calibri" w:eastAsia="Calibri"/>
          <w:b/>
          <w:bCs/>
        </w:rPr>
        <w:t xml:space="preserve">Verordnung (EU) 2023/1113.</w:t>
      </w:r>
      <w:r>
        <w:rPr>
          <w:rFonts w:ascii="Calibri" w:hAnsi="Calibri" w:eastAsia="Calibri"/>
        </w:rPr>
        <w:t xml:space="preserve"> </w:t>
      </w:r>
      <w:r>
        <w:rPr>
          <w:rFonts w:ascii="Calibri" w:hAnsi="Calibri" w:eastAsia="Calibri"/>
        </w:rPr>
        <w:t xml:space="preserve">Informationen bei Geld- und bestimmten Kryptotransfers.</w:t>
      </w:r>
      <w:r>
        <w:rPr>
          <w:rFonts w:ascii="Calibri" w:hAnsi="Calibri" w:eastAsia="Calibri"/>
        </w:rPr>
        <w:t xml:space="preserve"> </w:t>
      </w:r>
      <w:hyperlink r:id="rId106">
        <w:r>
          <w:rPr>
            <w:rStyle w:val="Hyperlink"/>
          </w:rPr>
          <w:t xml:space="preserve">https://eur-lex.europa.eu/eli/reg/2023/1113/oj</w:t>
        </w:r>
      </w:hyperlink>
    </w:p>
    <w:p>
      <w:pPr>
        <w:pStyle w:val="Compact"/>
        <w:numPr>
          <w:ilvl w:val="0"/>
          <w:numId w:val="1021"/>
        </w:numPr>
      </w:pPr>
      <w:r>
        <w:rPr>
          <w:rFonts w:ascii="Calibri" w:hAnsi="Calibri" w:eastAsia="Calibri"/>
          <w:b/>
          <w:bCs/>
        </w:rPr>
        <w:t xml:space="preserve">Verordnung (EU) 2024/1624.</w:t>
      </w:r>
      <w:r>
        <w:rPr>
          <w:rFonts w:ascii="Calibri" w:hAnsi="Calibri" w:eastAsia="Calibri"/>
        </w:rPr>
        <w:t xml:space="preserve"> </w:t>
      </w:r>
      <w:r>
        <w:rPr>
          <w:rFonts w:ascii="Calibri" w:hAnsi="Calibri" w:eastAsia="Calibri"/>
        </w:rPr>
        <w:t xml:space="preserve">EU-Geldwäschebekämpfungsrahmen.</w:t>
      </w:r>
      <w:r>
        <w:rPr>
          <w:rFonts w:ascii="Calibri" w:hAnsi="Calibri" w:eastAsia="Calibri"/>
        </w:rPr>
        <w:t xml:space="preserve"> </w:t>
      </w:r>
      <w:hyperlink r:id="rId107">
        <w:r>
          <w:rPr>
            <w:rStyle w:val="Hyperlink"/>
          </w:rPr>
          <w:t xml:space="preserve">https://eur-lex.europa.eu/eli/reg/2024/1624/oj</w:t>
        </w:r>
      </w:hyperlink>
    </w:p>
    <w:p>
      <w:pPr>
        <w:pStyle w:val="Compact"/>
        <w:numPr>
          <w:ilvl w:val="0"/>
          <w:numId w:val="1021"/>
        </w:numPr>
      </w:pPr>
      <w:r>
        <w:rPr>
          <w:rFonts w:ascii="Calibri" w:hAnsi="Calibri" w:eastAsia="Calibri"/>
          <w:b/>
          <w:bCs/>
        </w:rPr>
        <w:t xml:space="preserve">ECB, Digital Euro FAQs.</w:t>
      </w:r>
      <w:r>
        <w:rPr>
          <w:rFonts w:ascii="Calibri" w:hAnsi="Calibri" w:eastAsia="Calibri"/>
        </w:rPr>
        <w:t xml:space="preserve"> </w:t>
      </w:r>
      <w:r>
        <w:rPr>
          <w:rFonts w:ascii="Calibri" w:hAnsi="Calibri" w:eastAsia="Calibri"/>
        </w:rPr>
        <w:t xml:space="preserve">Zentralisierte Settlement-Plattform; nicht DLT-basiert, jedoch Nutzung einzelner DLT-Designprinzipien.</w:t>
      </w:r>
      <w:r>
        <w:rPr>
          <w:rFonts w:ascii="Calibri" w:hAnsi="Calibri" w:eastAsia="Calibri"/>
        </w:rPr>
        <w:t xml:space="preserve"> </w:t>
      </w:r>
      <w:hyperlink r:id="rId108">
        <w:r>
          <w:rPr>
            <w:rStyle w:val="Hyperlink"/>
          </w:rPr>
          <w:t xml:space="preserve">https://www.ecb.europa.eu/euro/digital_euro/faqs/html/ecb.faq_digital_euro.en.html</w:t>
        </w:r>
      </w:hyperlink>
    </w:p>
    <w:p>
      <w:pPr>
        <w:pStyle w:val="Compact"/>
        <w:numPr>
          <w:ilvl w:val="0"/>
          <w:numId w:val="1021"/>
        </w:numPr>
      </w:pPr>
      <w:r>
        <w:rPr>
          <w:rFonts w:ascii="Calibri" w:hAnsi="Calibri" w:eastAsia="Calibri"/>
          <w:b/>
          <w:bCs/>
        </w:rPr>
        <w:t xml:space="preserve">UNCTAD, Review of Maritime Transport 2025.</w:t>
      </w:r>
      <w:r>
        <w:rPr>
          <w:rFonts w:ascii="Calibri" w:hAnsi="Calibri" w:eastAsia="Calibri"/>
        </w:rPr>
        <w:t xml:space="preserve"> </w:t>
      </w:r>
      <w:r>
        <w:rPr>
          <w:rFonts w:ascii="Calibri" w:hAnsi="Calibri" w:eastAsia="Calibri"/>
        </w:rPr>
        <w:t xml:space="preserve">Griechenland als führende Ship-owning Nation mit 16,4 % der globalen Flottenkapazität.</w:t>
      </w:r>
      <w:r>
        <w:rPr>
          <w:rFonts w:ascii="Calibri" w:hAnsi="Calibri" w:eastAsia="Calibri"/>
        </w:rPr>
        <w:t xml:space="preserve"> </w:t>
      </w:r>
      <w:hyperlink r:id="rId109">
        <w:r>
          <w:rPr>
            <w:rStyle w:val="Hyperlink"/>
          </w:rPr>
          <w:t xml:space="preserve">https://unctad.org/system/files/official-document/rmt2025overview_en.pdf</w:t>
        </w:r>
      </w:hyperlink>
    </w:p>
    <w:p>
      <w:pPr>
        <w:pStyle w:val="Compact"/>
        <w:numPr>
          <w:ilvl w:val="0"/>
          <w:numId w:val="1021"/>
        </w:numPr>
      </w:pPr>
      <w:r>
        <w:rPr>
          <w:rFonts w:ascii="Calibri" w:hAnsi="Calibri" w:eastAsia="Calibri"/>
          <w:b/>
          <w:bCs/>
        </w:rPr>
        <w:t xml:space="preserve">Bank of Greece, Developments in the balance of travel services: 2025.</w:t>
      </w:r>
      <w:r>
        <w:rPr>
          <w:rFonts w:ascii="Calibri" w:hAnsi="Calibri" w:eastAsia="Calibri"/>
        </w:rPr>
        <w:t xml:space="preserve"> </w:t>
      </w:r>
      <w:r>
        <w:rPr>
          <w:rFonts w:ascii="Calibri" w:hAnsi="Calibri" w:eastAsia="Calibri"/>
        </w:rPr>
        <w:t xml:space="preserve">Reiseeinnahmen und Tourismusdaten.</w:t>
      </w:r>
      <w:r>
        <w:rPr>
          <w:rFonts w:ascii="Calibri" w:hAnsi="Calibri" w:eastAsia="Calibri"/>
        </w:rPr>
        <w:t xml:space="preserve"> </w:t>
      </w:r>
      <w:hyperlink r:id="rId110">
        <w:r>
          <w:rPr>
            <w:rStyle w:val="Hyperlink"/>
          </w:rPr>
          <w:t xml:space="preserve">https://www.bankofgreece.gr/en/news-and-media/press-office/news-list/news?announcement=27a32287-1c58-44e7-b900-2c92c53ffe9c</w:t>
        </w:r>
      </w:hyperlink>
    </w:p>
    <w:p>
      <w:pPr>
        <w:pStyle w:val="Compact"/>
        <w:numPr>
          <w:ilvl w:val="0"/>
          <w:numId w:val="1021"/>
        </w:numPr>
      </w:pPr>
      <w:r>
        <w:rPr>
          <w:rFonts w:ascii="Calibri" w:hAnsi="Calibri" w:eastAsia="Calibri"/>
          <w:b/>
          <w:bCs/>
        </w:rPr>
        <w:t xml:space="preserve">BIS Annual Economic Report 2025, Next-generation monetary and financial system.</w:t>
      </w:r>
      <w:r>
        <w:rPr>
          <w:rFonts w:ascii="Calibri" w:hAnsi="Calibri" w:eastAsia="Calibri"/>
        </w:rPr>
        <w:t xml:space="preserve"> </w:t>
      </w:r>
      <w:r>
        <w:rPr>
          <w:rFonts w:ascii="Calibri" w:hAnsi="Calibri" w:eastAsia="Calibri"/>
        </w:rPr>
        <w:t xml:space="preserve">Kriterien Singleness, Elasticity und Integrity als Gegenmaßstab.</w:t>
      </w:r>
      <w:r>
        <w:rPr>
          <w:rFonts w:ascii="Calibri" w:hAnsi="Calibri" w:eastAsia="Calibri"/>
        </w:rPr>
        <w:t xml:space="preserve"> </w:t>
      </w:r>
      <w:hyperlink r:id="rId111">
        <w:r>
          <w:rPr>
            <w:rStyle w:val="Hyperlink"/>
          </w:rPr>
          <w:t xml:space="preserve">https://www.bis.org/publications/aer-2025/next-generation-monetary-financial-system</w:t>
        </w:r>
      </w:hyperlink>
    </w:p>
    <w:p>
      <w:pPr>
        <w:pStyle w:val="Compact"/>
        <w:numPr>
          <w:ilvl w:val="0"/>
          <w:numId w:val="1021"/>
        </w:numPr>
      </w:pPr>
      <w:r>
        <w:rPr>
          <w:rFonts w:ascii="Calibri" w:hAnsi="Calibri" w:eastAsia="Calibri"/>
          <w:b/>
          <w:bCs/>
        </w:rPr>
        <w:t xml:space="preserve">IMF, Currency Boards und Lender of Last Resort.</w:t>
      </w:r>
      <w:r>
        <w:rPr>
          <w:rFonts w:ascii="Calibri" w:hAnsi="Calibri" w:eastAsia="Calibri"/>
        </w:rPr>
        <w:t xml:space="preserve"> </w:t>
      </w:r>
      <w:r>
        <w:rPr>
          <w:rFonts w:ascii="Calibri" w:hAnsi="Calibri" w:eastAsia="Calibri"/>
        </w:rPr>
        <w:t xml:space="preserve">Grenzen harter Geldordnungen und Krisenliquidität.</w:t>
      </w:r>
      <w:r>
        <w:rPr>
          <w:rFonts w:ascii="Calibri" w:hAnsi="Calibri" w:eastAsia="Calibri"/>
        </w:rPr>
        <w:t xml:space="preserve"> </w:t>
      </w:r>
      <w:hyperlink r:id="rId112">
        <w:r>
          <w:rPr>
            <w:rStyle w:val="Hyperlink"/>
          </w:rPr>
          <w:t xml:space="preserve">https://www.elibrary.imf.org/view/journals/007/1999/009/article-A004-en.xml</w:t>
        </w:r>
      </w:hyperlink>
    </w:p>
    <w:p>
      <w:pPr>
        <w:pStyle w:val="Compact"/>
        <w:numPr>
          <w:ilvl w:val="0"/>
          <w:numId w:val="1021"/>
        </w:numPr>
      </w:pPr>
      <w:r>
        <w:rPr>
          <w:rFonts w:ascii="Calibri" w:hAnsi="Calibri" w:eastAsia="Calibri"/>
          <w:b/>
          <w:bCs/>
        </w:rPr>
        <w:t xml:space="preserve">1kUSD als methodische Referenz.</w:t>
      </w:r>
      <w:r>
        <w:rPr>
          <w:rFonts w:ascii="Calibri" w:hAnsi="Calibri" w:eastAsia="Calibri"/>
        </w:rPr>
        <w:t xml:space="preserve"> </w:t>
      </w:r>
      <w:r>
        <w:rPr>
          <w:rFonts w:ascii="Calibri" w:hAnsi="Calibri" w:eastAsia="Calibri"/>
        </w:rPr>
        <w:t xml:space="preserve">Übernommen werden nur allgemeine Audit- und Verifikationsprinzipien; interne Dateien, USD-Peg, PSM, Oracle- und EVM-Architektur sind keine Quelle oder Grundlage von DRAX.</w:t>
      </w:r>
    </w:p>
    <w:bookmarkStart w:id="113" w:name="X7ba01d4060a8505ee5f4d0826c8921a9d8d93ff"/>
    <w:p>
      <w:pPr>
        <w:pStyle w:val="Heading2"/>
      </w:pPr>
      <w:r>
        <w:rPr>
          <w:rFonts w:ascii="Calibri" w:hAnsi="Calibri" w:eastAsia="Calibri"/>
        </w:rPr>
        <w:t xml:space="preserve">16.1 Offene Rechtsfragen [UNSICHER]</w:t>
      </w:r>
    </w:p>
    <w:p>
      <w:pPr>
        <w:pStyle w:val="Compact"/>
        <w:numPr>
          <w:ilvl w:val="0"/>
          <w:numId w:val="1022"/>
        </w:numPr>
      </w:pPr>
      <w:r>
        <w:rPr>
          <w:rFonts w:ascii="Calibri" w:hAnsi="Calibri" w:eastAsia="Calibri"/>
        </w:rPr>
        <w:t xml:space="preserve">genaue MiCA-Einordnung eines staatlich initiierten, später dezentralen Nicht-Peg-Assets;</w:t>
      </w:r>
    </w:p>
    <w:p>
      <w:pPr>
        <w:pStyle w:val="Compact"/>
        <w:numPr>
          <w:ilvl w:val="0"/>
          <w:numId w:val="1022"/>
        </w:numPr>
      </w:pPr>
      <w:r>
        <w:rPr>
          <w:rFonts w:ascii="Calibri" w:hAnsi="Calibri" w:eastAsia="Calibri"/>
        </w:rPr>
        <w:t xml:space="preserve">Zulässigkeit eines werttragenden freiwilligen Komplementärpilots und einer begrenzten fiskalischen Nutzung in der Eurozone;</w:t>
      </w:r>
    </w:p>
    <w:p>
      <w:pPr>
        <w:pStyle w:val="Compact"/>
        <w:numPr>
          <w:ilvl w:val="0"/>
          <w:numId w:val="1022"/>
        </w:numPr>
      </w:pPr>
      <w:r>
        <w:rPr>
          <w:rFonts w:ascii="Calibri" w:hAnsi="Calibri" w:eastAsia="Calibri"/>
        </w:rPr>
        <w:t xml:space="preserve">Verhältnis von Bearer-Self-Custody zu AMLR, Travel Rule, nationalem Bargeld- und Steuerrecht;</w:t>
      </w:r>
    </w:p>
    <w:p>
      <w:pPr>
        <w:pStyle w:val="Compact"/>
        <w:numPr>
          <w:ilvl w:val="0"/>
          <w:numId w:val="1022"/>
        </w:numPr>
      </w:pPr>
      <w:r>
        <w:rPr>
          <w:rFonts w:ascii="Calibri" w:hAnsi="Calibri" w:eastAsia="Calibri"/>
        </w:rPr>
        <w:t xml:space="preserve">rechtliche Qualität einer Cash Utility als Issuer of Record ohne Zentralbankfunktion;</w:t>
      </w:r>
    </w:p>
    <w:p>
      <w:pPr>
        <w:pStyle w:val="Compact"/>
        <w:numPr>
          <w:ilvl w:val="0"/>
          <w:numId w:val="1022"/>
        </w:numPr>
      </w:pPr>
      <w:r>
        <w:rPr>
          <w:rFonts w:ascii="Calibri" w:hAnsi="Calibri" w:eastAsia="Calibri"/>
        </w:rPr>
        <w:t xml:space="preserve">vertrags-, insolvenz- und eigentumsrechtliche Behandlung von CashLots und Offline Claims;</w:t>
      </w:r>
    </w:p>
    <w:p>
      <w:pPr>
        <w:pStyle w:val="Compact"/>
        <w:numPr>
          <w:ilvl w:val="0"/>
          <w:numId w:val="1022"/>
        </w:numPr>
      </w:pPr>
      <w:r>
        <w:rPr>
          <w:rFonts w:ascii="Calibri" w:hAnsi="Calibri" w:eastAsia="Calibri"/>
        </w:rPr>
        <w:t xml:space="preserve">Anforderungen an Datenschutz und Rückverfolgbarkeit von Serien-/UTXO-Daten.</w:t>
      </w:r>
    </w:p>
    <w:bookmarkEnd w:id="113"/>
    <w:bookmarkEnd w:id="114"/>
    <w:bookmarkStart w:id="115" w:name="X90be386c52a7c915342a9c1d1b3377687655a79"/>
    <w:p>
      <w:pPr>
        <w:pStyle w:val="Heading1"/>
      </w:pPr>
      <w:r>
        <w:rPr>
          <w:rFonts w:ascii="Calibri" w:hAnsi="Calibri" w:eastAsia="Calibri"/>
        </w:rPr>
        <w:t xml:space="preserve">17. Ehrliches Restrisiko</w:t>
      </w:r>
    </w:p>
    <w:p>
      <w:pPr>
        <w:pStyle w:val="FirstParagraph"/>
      </w:pPr>
      <w:r>
        <w:rPr>
          <w:rFonts w:ascii="Calibri" w:hAnsi="Calibri" w:eastAsia="Calibri"/>
        </w:rPr>
        <w:t xml:space="preserve">ΔΡΑΧ kann technisch sehr hart und gegen nachträgliche Prägung robust gestaltet werden. Sie kann aber nicht gleichzeitig vollständig souverän, global offen, krisenelastisch, offline final, anonym und institutionenfrei sein. Kaspa reduziert Betreiberzentralität, ersetzt jedoch keine eigene Sicherheits- und Migrationsstrategie. Papier und Metall brauchen vertrauenswürdige menschliche Prozesse. Eine fixe Geldmenge verhindert monetäre Rettung und kann Deflation sowie Kreditknappheit verschärfen. Recht kann Self-Custody technisch nicht rückwirkend löschen, aber Nutzung, Intermediäre und Märkte beschränken. Internationale Relevanz entsteht nur durch reale Wirtschaft, Rechtsstaatlichkeit und freiwillige Liquidität. Das Vorhaben ist daher als überprüfbares Forschungsprogramm vertretbar; eine Einführung wäre erst nach positiven Rechts-, Sicherheits- und Makroergebnissen verantwortbar.</w:t>
      </w:r>
    </w:p>
    <w:p>
      <w:pPr>
        <w:pStyle w:val="BodyText"/>
      </w:pPr>
      <w:r>
        <w:rPr>
          <w:rFonts w:ascii="Calibri" w:hAnsi="Calibri" w:eastAsia="Calibri"/>
          <w:b/>
          <w:bCs/>
        </w:rPr>
        <w:t xml:space="preserve">Prüfsatz, abschließend:</w:t>
      </w:r>
      <w:r>
        <w:rPr>
          <w:rFonts w:ascii="Calibri" w:hAnsi="Calibri" w:eastAsia="Calibri"/>
        </w:rPr>
        <w:t xml:space="preserve"> </w:t>
      </w:r>
      <w:r>
        <w:rPr>
          <w:rFonts w:ascii="Calibri" w:hAnsi="Calibri" w:eastAsia="Calibri"/>
        </w:rPr>
        <w:t xml:space="preserve">Schein am Sonntag, Token am Montag, identischer Nominalbetrag - und niemand in Athen besitzt einen Schlüssel, mit dem er nach dem Sunset neue ΔΡΑΧ prägen oder die Self-Custody-Wallet des Fischers einfrieren kann.</w:t>
      </w:r>
    </w:p>
    <w:bookmarkEnd w:id="115"/>
    <w:sectPr>
      <w:headerReference w:type="default" r:id="rId10"/>
      <w:footerReference w:type="default" r:id="rId11"/>
      <w:footnotePr>
        <w:numRestart w:val="eachSect"/>
      </w:footnotePr>
      <w:pgSz w:w="12240" w:h="15840"/>
      <w:pgMar w:top="1440" w:bottom="1440" w:left="1440" w:right="1440" w:header="648" w:footer="648"/>
      <w:titlePg/>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eastAsia="Calibri"/>
        <w:color w:val="5F6B7A"/>
        <w:sz w:val="16"/>
      </w:rPr>
      <w:t xml:space="preserve">Seite </w:t>
    </w:r>
    <w:r>
      <w:rPr>
        <w:rFonts w:ascii="Calibri" w:hAnsi="Calibri" w:eastAsia="Calibri"/>
        <w:color w:val="5F6B7A"/>
        <w:sz w:val="16"/>
      </w:rPr>
      <w:fldChar w:fldCharType="begin"/>
      <w:instrText xml:space="preserve"> PAGE </w:instrText>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eastAsia="Calibri"/>
        <w:b/>
        <w:color w:val="5F6B7A"/>
        <w:sz w:val="16"/>
      </w:rPr>
      <w:t>PROGRAMM DRX — UNABHÄNGIGE DRACHME  ·  ΔΡΑΧ</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0">
    <w:nsid w:val="00A99410"/>
    <w:multiLevelType w:val="multilevel"/>
    <w:lvl w:ilvl="0">
      <w:start w:val="0"/>
      <w:numFmt w:val="decimal"/>
      <w:lvlText w:val="%1."/>
      <w:lvlJc w:val="left"/>
      <w:pPr>
        <w:ind w:left="720" w:hanging="360"/>
      </w:pPr>
    </w:lvl>
    <w:lvl w:ilvl="1">
      <w:start w:val="0"/>
      <w:numFmt w:val="decimal"/>
      <w:lvlText w:val="%2."/>
      <w:lvlJc w:val="left"/>
      <w:pPr>
        <w:ind w:left="1440" w:hanging="360"/>
      </w:pPr>
    </w:lvl>
    <w:lvl w:ilvl="2">
      <w:start w:val="0"/>
      <w:numFmt w:val="decimal"/>
      <w:lvlText w:val="%3."/>
      <w:lvlJc w:val="left"/>
      <w:pPr>
        <w:ind w:left="2160" w:hanging="360"/>
      </w:pPr>
    </w:lvl>
    <w:lvl w:ilvl="3">
      <w:start w:val="0"/>
      <w:numFmt w:val="decimal"/>
      <w:lvlText w:val="%4."/>
      <w:lvlJc w:val="left"/>
      <w:pPr>
        <w:ind w:left="2880" w:hanging="360"/>
      </w:pPr>
    </w:lvl>
    <w:lvl w:ilvl="4">
      <w:start w:val="0"/>
      <w:numFmt w:val="decimal"/>
      <w:lvlText w:val="%5."/>
      <w:lvlJc w:val="left"/>
      <w:pPr>
        <w:ind w:left="3600" w:hanging="360"/>
      </w:pPr>
    </w:lvl>
    <w:lvl w:ilvl="5">
      <w:start w:val="0"/>
      <w:numFmt w:val="decimal"/>
      <w:lvlText w:val="%6."/>
      <w:lvlJc w:val="left"/>
      <w:pPr>
        <w:ind w:left="4320" w:hanging="360"/>
      </w:pPr>
    </w:lvl>
    <w:lvl w:ilvl="6">
      <w:start w:val="0"/>
      <w:numFmt w:val="decimal"/>
      <w:lvlText w:val="%7."/>
      <w:lvlJc w:val="left"/>
      <w:pPr>
        <w:ind w:left="5040" w:hanging="360"/>
      </w:pPr>
    </w:lvl>
    <w:lvl w:ilvl="7">
      <w:start w:val="0"/>
      <w:numFmt w:val="decimal"/>
      <w:lvlText w:val="%8."/>
      <w:lvlJc w:val="left"/>
      <w:pPr>
        <w:ind w:left="5760" w:hanging="360"/>
      </w:pPr>
    </w:lvl>
    <w:lvl w:ilvl="8">
      <w:start w:val="0"/>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0"/>
    <w:lvlOverride w:ilvl="0">
      <w:startOverride w:val="0"/>
    </w:lvlOverride>
    <w:lvlOverride w:ilvl="1">
      <w:startOverride w:val="0"/>
    </w:lvlOverride>
    <w:lvlOverride w:ilvl="2">
      <w:startOverride w:val="0"/>
    </w:lvlOverride>
    <w:lvlOverride w:ilvl="3">
      <w:startOverride w:val="0"/>
    </w:lvlOverride>
    <w:lvlOverride w:ilvl="4">
      <w:startOverride w:val="0"/>
    </w:lvlOverride>
    <w:lvlOverride w:ilvl="5">
      <w:startOverride w:val="0"/>
    </w:lvlOverride>
    <w:lvlOverride w:ilvl="6">
      <w:startOverride w:val="0"/>
    </w:lvlOverride>
    <w:lvlOverride w:ilvl="7">
      <w:startOverride w:val="0"/>
    </w:lvlOverride>
    <w:lvlOverride w:ilvl="8">
      <w:startOverride w:val="0"/>
    </w:lvlOverride>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de-DE"/>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60" w:line="320" w:lineRule="auto"/>
      <w:jc w:val="both"/>
    </w:pPr>
    <w:rPr>
      <w:rFonts w:ascii="Calibri" w:hAnsi="Calibri" w:eastAsia="Calibri"/>
      <w:sz w:val="22"/>
    </w:r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keepNext/>
      <w:spacing w:after="200" w:line="240" w:lineRule="auto" w:before="0"/>
      <w:contextualSpacing/>
      <w:jc w:val="center"/>
    </w:pPr>
    <w:rPr>
      <w:rFonts w:asciiTheme="majorHAnsi" w:cstheme="majorBidi" w:eastAsiaTheme="majorEastAsia" w:hAnsiTheme="majorHAnsi" w:ascii="Calibri" w:hAnsi="Calibri" w:eastAsia="Calibri"/>
      <w:b/>
      <w:color w:val="071426"/>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keepNext/>
      <w:numPr>
        <w:ilvl w:val="1"/>
      </w:numPr>
      <w:spacing w:before="0" w:after="400"/>
    </w:pPr>
    <w:rPr>
      <w:rFonts w:cstheme="majorBidi" w:eastAsiaTheme="majorEastAsia" w:ascii="Calibri" w:hAnsi="Calibri" w:eastAsia="Calibri"/>
      <w:b w:val="0"/>
      <w:color w:val="5F6B7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160" w:before="360"/>
      <w:outlineLvl w:val="0"/>
    </w:pPr>
    <w:rPr>
      <w:rFonts w:asciiTheme="majorHAnsi" w:cstheme="majorBidi" w:eastAsiaTheme="majorEastAsia" w:hAnsiTheme="majorHAnsi" w:ascii="Calibri" w:hAnsi="Calibri" w:eastAsia="Calibri"/>
      <w:b/>
      <w:color w:val="1B4F78"/>
      <w:sz w:val="32"/>
      <w:szCs w:val="40"/>
    </w:rPr>
  </w:style>
  <w:style w:styleId="Heading2" w:type="paragraph">
    <w:name w:val="heading 2"/>
    <w:basedOn w:val="Normal"/>
    <w:next w:val="BodyText"/>
    <w:link w:val="Heading2Char"/>
    <w:uiPriority w:val="9"/>
    <w:semiHidden/>
    <w:unhideWhenUsed/>
    <w:qFormat/>
    <w:rsid w:val="00A10FD9"/>
    <w:pPr>
      <w:keepNext/>
      <w:keepLines/>
      <w:spacing w:after="120" w:before="280"/>
      <w:outlineLvl w:val="1"/>
    </w:pPr>
    <w:rPr>
      <w:rFonts w:asciiTheme="majorHAnsi" w:cstheme="majorBidi" w:eastAsiaTheme="majorEastAsia" w:hAnsiTheme="majorHAnsi" w:ascii="Calibri" w:hAnsi="Calibri" w:eastAsia="Calibri"/>
      <w:b/>
      <w:color w:val="1B4F78"/>
      <w:sz w:val="26"/>
      <w:szCs w:val="32"/>
    </w:rPr>
  </w:style>
  <w:style w:styleId="Heading3" w:type="paragraph">
    <w:name w:val="heading 3"/>
    <w:basedOn w:val="Normal"/>
    <w:next w:val="BodyText"/>
    <w:link w:val="Heading3Char"/>
    <w:uiPriority w:val="9"/>
    <w:semiHidden/>
    <w:unhideWhenUsed/>
    <w:qFormat/>
    <w:rsid w:val="00A10FD9"/>
    <w:pPr>
      <w:keepNext/>
      <w:keepLines/>
      <w:spacing w:after="80" w:before="200"/>
      <w:outlineLvl w:val="2"/>
    </w:pPr>
    <w:rPr>
      <w:rFonts w:cstheme="majorBidi" w:eastAsiaTheme="majorEastAsia" w:ascii="Calibri" w:hAnsi="Calibri" w:eastAsia="Calibri"/>
      <w:b/>
      <w:color w:val="071426"/>
      <w:sz w:val="22"/>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98" Type="http://schemas.openxmlformats.org/officeDocument/2006/relationships/hyperlink" Target="https://docs.kaspa.org/toccata" TargetMode="External"/><Relationship Id="rId99" Type="http://schemas.openxmlformats.org/officeDocument/2006/relationships/hyperlink" Target="https://docs.kaspa.org/toccata/agent-brief" TargetMode="External"/><Relationship Id="rId103" Type="http://schemas.openxmlformats.org/officeDocument/2006/relationships/hyperlink" Target="https://eur-lex.europa.eu/eli/reg/1998/974/oj" TargetMode="External"/><Relationship Id="rId106" Type="http://schemas.openxmlformats.org/officeDocument/2006/relationships/hyperlink" Target="https://eur-lex.europa.eu/eli/reg/2023/1113/oj" TargetMode="External"/><Relationship Id="rId104" Type="http://schemas.openxmlformats.org/officeDocument/2006/relationships/hyperlink" Target="https://eur-lex.europa.eu/eli/reg/2023/1114/oj" TargetMode="External"/><Relationship Id="rId107" Type="http://schemas.openxmlformats.org/officeDocument/2006/relationships/hyperlink" Target="https://eur-lex.europa.eu/eli/reg/2024/1624/oj" TargetMode="External"/><Relationship Id="rId102" Type="http://schemas.openxmlformats.org/officeDocument/2006/relationships/hyperlink" Target="https://eur-lex.europa.eu/eli/treaty/tfeu_2012/art_128/oj/deu" TargetMode="External"/><Relationship Id="rId100" Type="http://schemas.openxmlformats.org/officeDocument/2006/relationships/hyperlink" Target="https://github.com/kaspanet/silverscript" TargetMode="External"/><Relationship Id="rId101" Type="http://schemas.openxmlformats.org/officeDocument/2006/relationships/hyperlink" Target="https://github.com/kaspanet/vprogs" TargetMode="External"/><Relationship Id="rId109" Type="http://schemas.openxmlformats.org/officeDocument/2006/relationships/hyperlink" Target="https://unctad.org/system/files/official-document/rmt2025overview_en.pdf" TargetMode="External"/><Relationship Id="rId105" Type="http://schemas.openxmlformats.org/officeDocument/2006/relationships/hyperlink" Target="https://www.bankofgreece.gr/en/main-tasks/supervision/regulation-eu-2023_1114-on-markets-in-crypto-assets" TargetMode="External"/><Relationship Id="rId110" Type="http://schemas.openxmlformats.org/officeDocument/2006/relationships/hyperlink" Target="https://www.bankofgreece.gr/en/news-and-media/press-office/news-list/news?announcement=27a32287-1c58-44e7-b900-2c92c53ffe9c" TargetMode="External"/><Relationship Id="rId111" Type="http://schemas.openxmlformats.org/officeDocument/2006/relationships/hyperlink" Target="https://www.bis.org/publications/aer-2025/next-generation-monetary-financial-system" TargetMode="External"/><Relationship Id="rId108" Type="http://schemas.openxmlformats.org/officeDocument/2006/relationships/hyperlink" Target="https://www.ecb.europa.eu/euro/digital_euro/faqs/html/ecb.faq_digital_euro.en.html" TargetMode="External"/><Relationship Id="rId112" Type="http://schemas.openxmlformats.org/officeDocument/2006/relationships/hyperlink" Target="https://www.elibrary.imf.org/view/journals/007/1999/009/article-A004-en.xml" TargetMode="External"/><Relationship Id="rId9" Type="http://schemas.openxmlformats.org/officeDocument/2006/relationships/image" Target="media/image1.jpg"/><Relationship Id="rId10" Type="http://schemas.openxmlformats.org/officeDocument/2006/relationships/header" Target="header1.xml"/><Relationship Id="rId11" Type="http://schemas.openxmlformats.org/officeDocument/2006/relationships/footer" Target="footer1.xml"/></Relationships>
</file>

<file path=word/_rels/footnotes.xml.rels><?xml version='1.0' encoding='UTF-8' standalone='yes'?>
<Relationships xmlns="http://schemas.openxmlformats.org/package/2006/relationships"><Relationship Id="rId98" Type="http://schemas.openxmlformats.org/officeDocument/2006/relationships/hyperlink" Target="https://docs.kaspa.org/toccata" TargetMode="External"/><Relationship Id="rId99" Type="http://schemas.openxmlformats.org/officeDocument/2006/relationships/hyperlink" Target="https://docs.kaspa.org/toccata/agent-brief" TargetMode="External"/><Relationship Id="rId103" Type="http://schemas.openxmlformats.org/officeDocument/2006/relationships/hyperlink" Target="https://eur-lex.europa.eu/eli/reg/1998/974/oj" TargetMode="External"/><Relationship Id="rId106" Type="http://schemas.openxmlformats.org/officeDocument/2006/relationships/hyperlink" Target="https://eur-lex.europa.eu/eli/reg/2023/1113/oj" TargetMode="External"/><Relationship Id="rId104" Type="http://schemas.openxmlformats.org/officeDocument/2006/relationships/hyperlink" Target="https://eur-lex.europa.eu/eli/reg/2023/1114/oj" TargetMode="External"/><Relationship Id="rId107" Type="http://schemas.openxmlformats.org/officeDocument/2006/relationships/hyperlink" Target="https://eur-lex.europa.eu/eli/reg/2024/1624/oj" TargetMode="External"/><Relationship Id="rId102" Type="http://schemas.openxmlformats.org/officeDocument/2006/relationships/hyperlink" Target="https://eur-lex.europa.eu/eli/treaty/tfeu_2012/art_128/oj/deu" TargetMode="External"/><Relationship Id="rId100" Type="http://schemas.openxmlformats.org/officeDocument/2006/relationships/hyperlink" Target="https://github.com/kaspanet/silverscript" TargetMode="External"/><Relationship Id="rId101" Type="http://schemas.openxmlformats.org/officeDocument/2006/relationships/hyperlink" Target="https://github.com/kaspanet/vprogs" TargetMode="External"/><Relationship Id="rId109" Type="http://schemas.openxmlformats.org/officeDocument/2006/relationships/hyperlink" Target="https://unctad.org/system/files/official-document/rmt2025overview_en.pdf" TargetMode="External"/><Relationship Id="rId105" Type="http://schemas.openxmlformats.org/officeDocument/2006/relationships/hyperlink" Target="https://www.bankofgreece.gr/en/main-tasks/supervision/regulation-eu-2023_1114-on-markets-in-crypto-assets" TargetMode="External"/><Relationship Id="rId110" Type="http://schemas.openxmlformats.org/officeDocument/2006/relationships/hyperlink" Target="https://www.bankofgreece.gr/en/news-and-media/press-office/news-list/news?announcement=27a32287-1c58-44e7-b900-2c92c53ffe9c" TargetMode="External"/><Relationship Id="rId111" Type="http://schemas.openxmlformats.org/officeDocument/2006/relationships/hyperlink" Target="https://www.bis.org/publications/aer-2025/next-generation-monetary-financial-system" TargetMode="External"/><Relationship Id="rId108" Type="http://schemas.openxmlformats.org/officeDocument/2006/relationships/hyperlink" Target="https://www.ecb.europa.eu/euro/digital_euro/faqs/html/ecb.faq_digital_euro.en.html" TargetMode="External"/><Relationship Id="rId112" Type="http://schemas.openxmlformats.org/officeDocument/2006/relationships/hyperlink" Target="https://www.elibrary.imf.org/view/journals/007/1999/009/article-A004-en.x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PROGRAMM DRX — UNABHÄNGIGE DRACHME — Whitepaper und Ministerialdossier</dc:title>
  <dc:creator>Vendetta Labs · Gio (Kaspartizan)</dc:creator>
  <dc:language>de-DE</dc:language>
  <cp:keywords/>
  <dcterms:created xsi:type="dcterms:W3CDTF">2026-09-01T14:34:01Z</dcterms:created>
  <dcterms:modified xsi:type="dcterms:W3CDTF">2026-09-01T14:34:01Z</dcterms:modified>
  <dc:subject>Öffentliche Forschungsfassung · Kein staatlicher Auftrag · Kein gesetzliches Zahlungsmittel</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September 2026</vt:lpwstr>
  </property>
  <property fmtid="{D5CDD505-2E9C-101B-9397-08002B2CF9AE}" pid="3" name="subtitle">
    <vt:lpwstr>PROGRAMM DRX — UNABHÄNGIGE DRACHME · dig Δραχμή (ΔΡΑΧ)</vt:lpwstr>
  </property>
</Properties>
</file>