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jc w:val="left"/>
      </w:pPr>
      <w:r>
        <w:rPr>
          <w:rFonts w:ascii="Calibri" w:hAnsi="Calibri" w:eastAsia="Calibri"/>
        </w:rPr>
        <w:drawing>
          <wp:inline>
            <wp:extent cx="1024128" cy="1024128"/>
            <wp:docPr id="1" name="Picture 1"/>
            <wp:cNvGraphicFramePr>
              <a:graphicFrameLocks noChangeAspect="1"/>
            </wp:cNvGraphicFramePr>
            <a:graphic>
              <a:graphicData uri="http://schemas.openxmlformats.org/drawingml/2006/picture">
                <pic:pic>
                  <pic:nvPicPr>
                    <pic:cNvPr id="0" name="drx-logo.jpg"/>
                    <pic:cNvPicPr/>
                  </pic:nvPicPr>
                  <pic:blipFill>
                    <a:blip r:embed="rId9"/>
                    <a:stretch>
                      <a:fillRect/>
                    </a:stretch>
                  </pic:blipFill>
                  <pic:spPr>
                    <a:xfrm>
                      <a:off x="0" y="0"/>
                      <a:ext cx="1024128" cy="1024128"/>
                    </a:xfrm>
                    <a:prstGeom prst="rect"/>
                  </pic:spPr>
                </pic:pic>
              </a:graphicData>
            </a:graphic>
          </wp:inline>
        </w:drawing>
      </w:r>
    </w:p>
    <w:p>
      <w:pPr>
        <w:spacing w:after="80"/>
        <w:jc w:val="left"/>
      </w:pPr>
      <w:r>
        <w:rPr>
          <w:rFonts w:ascii="Calibri" w:hAnsi="Calibri" w:eastAsia="Calibri"/>
          <w:b/>
          <w:color w:val="A67727"/>
          <w:sz w:val="22"/>
        </w:rPr>
        <w:t>ΠΡΟΓΡΑΜΜΑ DRX — ΑΝΕΞΑΡΤΗΤΗ ΔΡΑΧΜΗ</w:t>
      </w:r>
    </w:p>
    <w:p>
      <w:pPr>
        <w:spacing w:after="280"/>
        <w:jc w:val="left"/>
      </w:pPr>
      <w:r>
        <w:rPr>
          <w:rFonts w:ascii="Calibri" w:hAnsi="Calibri" w:eastAsia="Calibri"/>
          <w:b/>
          <w:color w:val="5F6B7A"/>
          <w:sz w:val="17"/>
        </w:rPr>
        <w:t>ΕΛΛΗΝΙΚΗ ΠΡΩΤΟΒΟΥΛΙΑ ΝΟΜΙΣΜΑΤΙΚΗΣ ΤΕΧΝΟΛΟΓΙΑΣ</w:t>
      </w:r>
    </w:p>
    <w:p>
      <w:pPr>
        <w:pStyle w:val="Title"/>
        <w:jc w:val="left"/>
      </w:pPr>
      <w:r>
        <w:rPr>
          <w:rFonts w:ascii="Calibri" w:hAnsi="Calibri" w:eastAsia="Calibri"/>
        </w:rPr>
        <w:t xml:space="preserve">Υπόμνημα Εκτελεστικής Απόφασης</w:t>
      </w:r>
    </w:p>
    <w:p>
      <w:pPr>
        <w:pStyle w:val="Subtitle"/>
        <w:jc w:val="left"/>
      </w:pPr>
      <w:r>
        <w:rPr>
          <w:rFonts w:ascii="Calibri" w:hAnsi="Calibri" w:eastAsia="Calibri"/>
        </w:rPr>
        <w:t xml:space="preserve">ΠΡΟΓΡΑΜΜΑ DRX — ΑΝΕΞΑΡΤΗΤΗ ΔΡΑΧΜΗ · dig Δραχμή (ΔΡΑΧ)</w:t>
      </w:r>
    </w:p>
    <w:p>
      <w:pPr>
        <w:pStyle w:val="Author"/>
      </w:pPr>
      <w:r>
        <w:rPr>
          <w:rFonts w:ascii="Calibri" w:hAnsi="Calibri" w:eastAsia="Calibri"/>
        </w:rPr>
        <w:t xml:space="preserve">Vendetta Labs · Gio (Kaspartizan)</w:t>
      </w:r>
    </w:p>
    <w:p>
      <w:pPr>
        <w:pStyle w:val="Date"/>
      </w:pPr>
      <w:r>
        <w:rPr>
          <w:rFonts w:ascii="Calibri" w:hAnsi="Calibri" w:eastAsia="Calibri"/>
        </w:rPr>
        <w:t xml:space="preserve">1 Σεπτεμβρίου 2026</w:t>
      </w:r>
    </w:p>
    <w:p>
      <w:pPr>
        <w:pStyle w:val="FirstParagraph"/>
      </w:pPr>
      <w:r>
        <w:rPr>
          <w:rFonts w:ascii="Calibri" w:hAnsi="Calibri" w:eastAsia="Calibri"/>
          <w:b/>
          <w:bCs/>
        </w:rPr>
        <w:t xml:space="preserve">Προς:</w:t>
      </w:r>
      <w:r>
        <w:rPr>
          <w:rFonts w:ascii="Calibri" w:hAnsi="Calibri" w:eastAsia="Calibri"/>
        </w:rPr>
        <w:t xml:space="preserve"> </w:t>
      </w:r>
      <w:r>
        <w:rPr>
          <w:rFonts w:ascii="Calibri" w:hAnsi="Calibri" w:eastAsia="Calibri"/>
        </w:rPr>
        <w:t xml:space="preserve">Υπουργείο Εθνικής Οικονομίας και Οικονομικών</w:t>
      </w:r>
      <w:r>
        <w:rPr>
          <w:rFonts w:ascii="Calibri" w:hAnsi="Calibri" w:eastAsia="Calibri"/>
        </w:rPr>
        <w:br/>
      </w:r>
      <w:r>
        <w:rPr>
          <w:rFonts w:ascii="Calibri" w:hAnsi="Calibri" w:eastAsia="Calibri"/>
          <w:b/>
          <w:bCs/>
        </w:rPr>
        <w:t xml:space="preserve">Από:</w:t>
      </w:r>
      <w:r>
        <w:rPr>
          <w:rFonts w:ascii="Calibri" w:hAnsi="Calibri" w:eastAsia="Calibri"/>
        </w:rPr>
        <w:t xml:space="preserve"> </w:t>
      </w:r>
      <w:r>
        <w:rPr>
          <w:rFonts w:ascii="Calibri" w:hAnsi="Calibri" w:eastAsia="Calibri"/>
        </w:rPr>
        <w:t xml:space="preserve">Vendetta Labs / Gio (Kaspartizan)</w:t>
      </w:r>
      <w:r>
        <w:rPr>
          <w:rFonts w:ascii="Calibri" w:hAnsi="Calibri" w:eastAsia="Calibri"/>
        </w:rPr>
        <w:br/>
      </w:r>
      <w:r>
        <w:rPr>
          <w:rFonts w:ascii="Calibri" w:hAnsi="Calibri" w:eastAsia="Calibri"/>
          <w:b/>
          <w:bCs/>
        </w:rPr>
        <w:t xml:space="preserve">Αντικείμενο απόφασης:</w:t>
      </w:r>
      <w:r>
        <w:rPr>
          <w:rFonts w:ascii="Calibri" w:hAnsi="Calibri" w:eastAsia="Calibri"/>
        </w:rPr>
        <w:t xml:space="preserve"> </w:t>
      </w:r>
      <w:r>
        <w:rPr>
          <w:rFonts w:ascii="Calibri" w:hAnsi="Calibri" w:eastAsia="Calibri"/>
        </w:rPr>
        <w:t xml:space="preserve">Περιορισμένη ερευνητική άδεια</w:t>
      </w:r>
      <w:r>
        <w:rPr>
          <w:rFonts w:ascii="Calibri" w:hAnsi="Calibri" w:eastAsia="Calibri"/>
        </w:rPr>
        <w:br/>
      </w:r>
      <w:r>
        <w:rPr>
          <w:rFonts w:ascii="Calibri" w:hAnsi="Calibri" w:eastAsia="Calibri"/>
          <w:b/>
          <w:bCs/>
        </w:rPr>
        <w:t xml:space="preserve">Κατάσταση:</w:t>
      </w:r>
      <w:r>
        <w:rPr>
          <w:rFonts w:ascii="Calibri" w:hAnsi="Calibri" w:eastAsia="Calibri"/>
        </w:rPr>
        <w:t xml:space="preserve"> </w:t>
      </w:r>
      <w:r>
        <w:rPr>
          <w:rFonts w:ascii="Calibri" w:hAnsi="Calibri" w:eastAsia="Calibri"/>
        </w:rPr>
        <w:t xml:space="preserve">Δημόσια ερευνητική έκδοση ιδιωτικής πρωτοβουλίας· δεν έχει ανατεθεί ή εγκριθεί από το κράτος</w:t>
      </w:r>
      <w:r>
        <w:rPr>
          <w:rFonts w:ascii="Calibri" w:hAnsi="Calibri" w:eastAsia="Calibri"/>
        </w:rPr>
        <w:br/>
      </w:r>
      <w:r>
        <w:rPr>
          <w:rFonts w:ascii="Calibri" w:hAnsi="Calibri" w:eastAsia="Calibri"/>
          <w:b/>
          <w:bCs/>
        </w:rPr>
        <w:t xml:space="preserve">Δεν ζητείται:</w:t>
      </w:r>
      <w:r>
        <w:rPr>
          <w:rFonts w:ascii="Calibri" w:hAnsi="Calibri" w:eastAsia="Calibri"/>
        </w:rPr>
        <w:t xml:space="preserve"> </w:t>
      </w:r>
      <w:r>
        <w:rPr>
          <w:rFonts w:ascii="Calibri" w:hAnsi="Calibri" w:eastAsia="Calibri"/>
        </w:rPr>
        <w:t xml:space="preserve">Εισαγωγή νομίσματος, token κύριου δικτύου (mainnet), τραπεζογραμμάτια με ονομαστική αξία, αποδοχή για φορολογικές πληρωμές ή καθεστώς νόμιμου μέσου πληρωμής</w:t>
      </w:r>
    </w:p>
    <w:p>
      <w:pPr>
        <w:pStyle w:val="BlockText"/>
      </w:pPr>
      <w:r>
        <w:rPr>
          <w:rFonts w:ascii="Calibri" w:hAnsi="Calibri" w:eastAsia="Calibri"/>
          <w:b/>
          <w:bCs/>
        </w:rPr>
        <w:t xml:space="preserve">Σύσταση:</w:t>
      </w:r>
      <w:r>
        <w:rPr>
          <w:rFonts w:ascii="Calibri" w:hAnsi="Calibri" w:eastAsia="Calibri"/>
        </w:rPr>
        <w:t xml:space="preserve"> </w:t>
      </w:r>
      <w:r>
        <w:rPr>
          <w:rFonts w:ascii="Calibri" w:hAnsi="Calibri" w:eastAsia="Calibri"/>
        </w:rPr>
        <w:t xml:space="preserve">Έγκριση μελέτης Φάσης 0 διάρκειας 12 έως 18 μηνών με ανώτατο όριο 1,6 εκατ. ευρώ. Αντικείμενο αποτελούν νομικά πορίσματα, μακροοικονομική προσομοίωση, ένα πρωτότυπο χωρίς χρηματική αξία στο δοκιμαστικό δίκτυο (testnet) του Kaspa Toccata, καθώς και εργαστηριακές δοκιμές CashLot και εκτός σύνδεσης (offline). Κάθε συνέχεια με πραγματική αξία απαιτεί νέα απόφαση.</w:t>
      </w:r>
    </w:p>
    <w:p>
      <w:pPr>
        <w:pStyle w:val="FirstParagraph"/>
      </w:pPr>
      <w:r>
        <w:rPr>
          <w:rFonts w:ascii="Calibri" w:hAnsi="Calibri" w:eastAsia="Calibri"/>
        </w:rPr>
        <w:br w:type="page"/>
      </w:r>
    </w:p>
    <w:bookmarkStart w:id="9" w:name="X095de9f549f61380a365a06f0f25a4079627b5b"/>
    <w:p>
      <w:pPr>
        <w:pStyle w:val="Heading1"/>
      </w:pPr>
      <w:r>
        <w:rPr>
          <w:rFonts w:ascii="Calibri" w:hAnsi="Calibri" w:eastAsia="Calibri"/>
        </w:rPr>
        <w:t xml:space="preserve">1. Η απόφαση σε μία πρόταση</w:t>
      </w:r>
    </w:p>
    <w:p>
      <w:pPr>
        <w:pStyle w:val="FirstParagraph"/>
      </w:pPr>
      <w:r>
        <w:rPr>
          <w:rFonts w:ascii="Calibri" w:hAnsi="Calibri" w:eastAsia="Calibri"/>
        </w:rPr>
        <w:t xml:space="preserve">Το Υπουργείο εγκρίνει μια αυστηρά περιορισμένη μελέτη σκοπιμότητας, προκειμένου να διαπιστωθεί εάν μια ανεξάρτητη λογιστική μονάδα, η ΔΡΑΧ, ως ψηφιακή αξία στον κομιστή (bearer value) εγγενής στο Kaspa, καθώς και ως πλήρως ψηφιακά καλυμμένο τραπεζογραμμάτιο και κέρμα, θα μπορούσε να υποστηριχθεί υπεύθυνα από τεχνική, νομική και μακροοικονομική άποψη.</w:t>
      </w:r>
    </w:p>
    <w:bookmarkEnd w:id="9"/>
    <w:bookmarkStart w:id="10" w:name="X6b81d60300d8d532f823cacf145d467af6116a0"/>
    <w:p>
      <w:pPr>
        <w:pStyle w:val="Heading1"/>
      </w:pPr>
      <w:r>
        <w:rPr>
          <w:rFonts w:ascii="Calibri" w:hAnsi="Calibri" w:eastAsia="Calibri"/>
        </w:rPr>
        <w:t xml:space="preserve">2. Αντίληψη</w:t>
      </w:r>
    </w:p>
    <w:p>
      <w:pPr>
        <w:pStyle w:val="FirstParagraph"/>
      </w:pPr>
      <w:r>
        <w:rPr>
          <w:rFonts w:ascii="Calibri" w:hAnsi="Calibri" w:eastAsia="Calibri"/>
        </w:rPr>
        <w:t xml:space="preserve">Η ΔΡΑΧ δεν αποτελεί CBDC ούτε stablecoin EUR/USD. Η νομισματική μάζα είναι εκ των προτέρων περιορισμένη. Η ψηφιακή αξία, η αξία εκτός σύνδεσης, τα τραπεζογραμμάτια και τα κέρματα ανήκουν σε μία ενιαία συνολική ποσότητα:</w:t>
      </w:r>
    </w:p>
    <w:p>
      <w:pPr>
        <w:pStyle w:val="BodyText"/>
      </w:pPr>
      <w:r>
        <w:rPr>
          <w:rStyle w:val="VerbatimChar"/>
          <w:rFonts w:ascii="Calibri" w:hAnsi="Calibri" w:eastAsia="Calibri"/>
        </w:rPr>
        <w:t xml:space="preserve">S = D + P + O + E ≤ Mmax</w:t>
      </w:r>
    </w:p>
    <w:p>
      <w:pPr>
        <w:pStyle w:val="BodyText"/>
      </w:pPr>
      <w:r>
        <w:rPr>
          <w:rFonts w:ascii="Calibri" w:hAnsi="Calibri" w:eastAsia="Calibri"/>
        </w:rPr>
        <w:t xml:space="preserve">Χαρτί ή μέταλλο επιτρέπεται να εκδοθεί μόνον εφόσον η ίδια ονομαστική αξία έχει προηγουμένως δεσμευθεί ψηφιακά σε ένα CashLot. Μετά την επιστροφή, τον έλεγχο γνησιότητας και την καταστροφή, απελευθερώνεται ψηφιακά ακριβώς αυτό το ποσό. Οι τράπεζες δεν αποκτούν δικαίωμα δημιουργίας χρήματος. Μετά από ένα τεχνικά καθορισμένο sunset γενέσεως (genesis sunset, τεχνικά δεσμευμένη λήξη των αρχικών δικαιωμάτων), ούτε η κυβέρνηση ούτε η κεντρική τράπεζα κατέχουν κλειδιά έκδοσης (mint) ή δέσμευσης (freeze).</w:t>
      </w:r>
    </w:p>
    <w:bookmarkEnd w:id="10"/>
    <w:bookmarkStart w:id="11" w:name="X4d8ceb34058e46a4f787f1b5a431009c68b9570"/>
    <w:p>
      <w:pPr>
        <w:pStyle w:val="Heading1"/>
      </w:pPr>
      <w:r>
        <w:rPr>
          <w:rFonts w:ascii="Calibri" w:hAnsi="Calibri" w:eastAsia="Calibri"/>
        </w:rPr>
        <w:t xml:space="preserve">3. Γιατί Kaspa Toccata</w:t>
      </w:r>
    </w:p>
    <w:p>
      <w:pPr>
        <w:pStyle w:val="FirstParagraph"/>
      </w:pPr>
      <w:r>
        <w:rPr>
          <w:rFonts w:ascii="Calibri" w:hAnsi="Calibri" w:eastAsia="Calibri"/>
        </w:rPr>
        <w:t xml:space="preserve">Το Kaspa Toccata είναι ενεργό στο κύριο δίκτυο από τις 30 Ιουνίου 2026 και επιτρέπει εγγενή covenants (δεσμευτικούς όρους πρωτοκόλλου) σε επίπεδο UTXO. Το μοντέλο αυτό ταιριάζει σε συντηρητικές μεταφορές στον φορέα και σε αυτο-επικυρούμενες μεταβάσεις κατάστασης. Η ωριμότητα του Silverscript, των πορτοφολιών (wallets), των ευρετηρίων (indexers), του υλικού εκτός σύνδεσης και του CashLot sharding δεν είναι ακόμη επαρκώς τεκμηριωμένη. Ακριβώς αυτή η αβεβαιότητα αιτιολογεί ένα ερευνητικό πρόγραμμα σε testnet αντί για κυκλοφορία.</w:t>
      </w:r>
    </w:p>
    <w:bookmarkEnd w:id="11"/>
    <w:bookmarkStart w:id="12" w:name="X56f903578d500360322f994d460250b17c927c1"/>
    <w:p>
      <w:pPr>
        <w:pStyle w:val="Heading1"/>
      </w:pPr>
      <w:r>
        <w:rPr>
          <w:rFonts w:ascii="Calibri" w:hAnsi="Calibri" w:eastAsia="Calibri"/>
        </w:rPr>
        <w:t xml:space="preserve">4. Νομική θέση</w:t>
      </w:r>
    </w:p>
    <w:p>
      <w:pPr>
        <w:pStyle w:val="FirstParagraph"/>
      </w:pPr>
      <w:r>
        <w:rPr>
          <w:rFonts w:ascii="Calibri" w:hAnsi="Calibri" w:eastAsia="Calibri"/>
        </w:rPr>
        <w:t xml:space="preserve">Εντός της ευρωζώνης, η ΔΡΑΧ δεν μπορεί να εισαχθεί ως εθνικό νόμιμο μέσο πληρωμής με γενική υποχρέωση αποδοχής. Το άρθρο 128 ΣΛΕΕ και ο κανονισμός εισαγωγής του ευρώ αποτελούν τη δεσμευτική αφετηρία. Η Φάση 0 περιλαμβάνει συνεπώς μόνο έρευνα και δοκιμές χωρίς αξία. Ένας εθελοντικός μεταγενέστερος συμπληρωματικός πιλότος απαιτεί κοινό νομικό πόρισμα επί του MiCA, του Νόμου 5193/2025, των κανόνων AML/Travel Rule, της προστασίας δεδομένων και του νομισματικού δικαίου. Το πλήρες καθεστώς νόμιμου μέσου πληρωμής περιγράφεται μόνο ως σενάριο πλήρους νομισματικής κυριαρχίας, και δεν συνιστάται.</w:t>
      </w:r>
    </w:p>
    <w:p>
      <w:pPr>
        <w:pStyle w:val="BodyText"/>
      </w:pPr>
      <w:r>
        <w:rPr>
          <w:rFonts w:ascii="Calibri" w:hAnsi="Calibri" w:eastAsia="Calibri"/>
        </w:rPr>
        <w:br w:type="page"/>
      </w:r>
    </w:p>
    <w:bookmarkEnd w:id="12"/>
    <w:bookmarkStart w:id="13" w:name="X22e2bbfd4fbf895439f45f186bf37c288c3242b"/>
    <w:p>
      <w:pPr>
        <w:pStyle w:val="Heading1"/>
      </w:pPr>
      <w:r>
        <w:rPr>
          <w:rFonts w:ascii="Calibri" w:hAnsi="Calibri" w:eastAsia="Calibri"/>
        </w:rPr>
        <w:t xml:space="preserve">5. Στρατηγικό όφελος</w:t>
      </w:r>
    </w:p>
    <w:p>
      <w:pPr>
        <w:pStyle w:val="Compact"/>
        <w:numPr>
          <w:ilvl w:val="0"/>
          <w:numId w:val="1001"/>
        </w:numPr>
      </w:pPr>
      <w:r>
        <w:rPr>
          <w:rFonts w:ascii="Calibri" w:hAnsi="Calibri" w:eastAsia="Calibri"/>
        </w:rPr>
        <w:t xml:space="preserve">Η Ελλάδα αποκτά δική της επάρκεια σε χρήμα με covenants, πληρωμές εκτός σύνδεσης και ψηφιακά καλυμμένο μετρητό.</w:t>
      </w:r>
    </w:p>
    <w:p>
      <w:pPr>
        <w:pStyle w:val="Compact"/>
        <w:numPr>
          <w:ilvl w:val="0"/>
          <w:numId w:val="1001"/>
        </w:numPr>
      </w:pPr>
      <w:r>
        <w:rPr>
          <w:rFonts w:ascii="Calibri" w:hAnsi="Calibri" w:eastAsia="Calibri"/>
        </w:rPr>
        <w:t xml:space="preserve">Η ναυτιλία, ο τουρισμός, τα νησιά και η διασπορά παρέχουν πραγματικές, εθελοντικές περιπτώσεις χρήσης για μεταγενέστερη έρευνα.</w:t>
      </w:r>
    </w:p>
    <w:p>
      <w:pPr>
        <w:pStyle w:val="Compact"/>
        <w:numPr>
          <w:ilvl w:val="0"/>
          <w:numId w:val="1001"/>
        </w:numPr>
      </w:pPr>
      <w:r>
        <w:rPr>
          <w:rFonts w:ascii="Calibri" w:hAnsi="Calibri" w:eastAsia="Calibri"/>
        </w:rPr>
        <w:t xml:space="preserve">Η μελέτη εξετάζει μια εναλλακτική έναντι των CBDC βάσει λογαριασμών, χωρίς να μιμείται το ψηφιακό ευρώ.</w:t>
      </w:r>
    </w:p>
    <w:p>
      <w:pPr>
        <w:pStyle w:val="Compact"/>
        <w:numPr>
          <w:ilvl w:val="0"/>
          <w:numId w:val="1001"/>
        </w:numPr>
      </w:pPr>
      <w:r>
        <w:rPr>
          <w:rFonts w:ascii="Calibri" w:hAnsi="Calibri" w:eastAsia="Calibri"/>
        </w:rPr>
        <w:t xml:space="preserve">Ένα πρωτότυπο ανοικτού κώδικα βελτιώνει τη διαπραγματευτική και αξιολογική ικανότητα του κράτους, ακόμη και αν η ΔΡΑΧ δεν εισαχθεί ποτέ.</w:t>
      </w:r>
    </w:p>
    <w:bookmarkEnd w:id="13"/>
    <w:bookmarkStart w:id="14" w:name="X88ce352b87ac3827b6a5ead408d3391b033fb71"/>
    <w:p>
      <w:pPr>
        <w:pStyle w:val="Heading1"/>
      </w:pPr>
      <w:r>
        <w:rPr>
          <w:rFonts w:ascii="Calibri" w:hAnsi="Calibri" w:eastAsia="Calibri"/>
        </w:rPr>
        <w:t xml:space="preserve">6. Κίνδυνοι που δεν επιτρέπεται να καλλωπιστούν</w:t>
      </w:r>
    </w:p>
    <w:tbl>
      <w:tblPr>
        <w:tblStyle w:val="Table"/>
        <w:tblW w:type="auto" w:w="0"/>
        <w:jc w:val="center"/>
        <w:tblLayout w:type="autofit"/>
        <w:tblLook w:firstRow="1" w:lastRow="0" w:firstColumn="0" w:lastColumn="0" w:noHBand="0" w:noVBand="0" w:val="0020"/>
      </w:tblPr>
      <w:tblGrid>
        <w:gridCol w:w="3960"/>
        <w:gridCol w:w="3960"/>
      </w:tblGrid>
      <w:tr>
        <w:trPr>
          <w:tblHeader w:val="on"/>
        </w:trPr>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Κίνδυνος</w:t>
            </w:r>
          </w:p>
        </w:tc>
        <w:tc>
          <w:tcPr>
            <w:vAlign w:val="center"/>
            <w:tcMar>
              <w:top w:w="90" w:type="dxa"/>
              <w:start w:w="110" w:type="dxa"/>
              <w:bottom w:w="90" w:type="dxa"/>
              <w:end w:w="110" w:type="dxa"/>
            </w:tcMar>
            <w:shd w:fill="071426"/>
          </w:tcPr>
          <w:p>
            <w:pPr>
              <w:pStyle w:val="Compact"/>
              <w:spacing w:after="40"/>
              <w:jc w:val="left"/>
            </w:pPr>
            <w:r>
              <w:rPr>
                <w:rFonts w:ascii="Calibri" w:hAnsi="Calibri" w:eastAsia="Calibri"/>
                <w:b/>
                <w:color w:val="FFFFFF"/>
                <w:sz w:val="18"/>
              </w:rPr>
              <w:t xml:space="preserve">Ειλικρινής εκτίμηση</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Δίκαιο της ευρωζώνης</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Νόμιμο μέσο πληρωμής αποκλεισμένο στη Φάση 0· εθελοντικός πιλότος νομικά ανοικτός</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Ξένο δίκτυο διακανονισμού</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Το Kaspa προσφέρει ουδετερότητα, όχι όμως πλήρη κρατική αυτάρκεια</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Αποπληθωρισμός/πίστωση</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Η σταθερή ποσότητα μπορεί να μειώσει τιμές, να αυξήσει το πραγματικό βάρος χρέους και να ακριβύνει την πίστωση</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Καμία απεριόριστη LOLR</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Η κρίσιμη ρευστότητα πρέπει να είναι προχρηματοδοτημένη· η εκδοτική διάσωση αποκλείεται</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Απάτη μετρητών</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Ο φυσικός βραχίονας παραμένει θεσμικός· δέσμευση, εγγύηση (bond), έλεγχος και καταστροφή περιορίζουν τον κίνδυνο</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Double spend εκτός σύνδεσης</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Περιορίζεται μόνο μέσω προχρηματοδότησης, ορίων και ευθύνης· δεν εξαλείφεται πλήρως</w:t>
            </w:r>
          </w:p>
        </w:tc>
      </w:tr>
      <w:tr>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Ωριμότητα εργαλείων</w:t>
            </w:r>
          </w:p>
        </w:tc>
        <w:tc>
          <w:tcPr>
            <w:vAlign w:val="center"/>
            <w:tcMar>
              <w:top w:w="90" w:type="dxa"/>
              <w:start w:w="110" w:type="dxa"/>
              <w:bottom w:w="90" w:type="dxa"/>
              <w:end w:w="110" w:type="dxa"/>
            </w:tcMar>
            <w:shd w:fill="FFFFFF"/>
          </w:tcPr>
          <w:p>
            <w:pPr>
              <w:pStyle w:val="Compact"/>
              <w:spacing w:after="40"/>
              <w:jc w:val="left"/>
            </w:pPr>
            <w:r>
              <w:rPr>
                <w:rFonts w:ascii="Calibri" w:hAnsi="Calibri" w:eastAsia="Calibri"/>
                <w:color w:val="142033"/>
                <w:sz w:val="18"/>
              </w:rPr>
              <w:t xml:space="preserve">Οι έλεγχοι Silverscript/indexer/wallet αποτελούν κατώφλι (gate), όχι μεταγενέστερη εργασία</w:t>
            </w:r>
          </w:p>
        </w:tc>
      </w:tr>
      <w:tr>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Πολιτική ερμηνεία</w:t>
            </w:r>
          </w:p>
        </w:tc>
        <w:tc>
          <w:tcPr>
            <w:vAlign w:val="center"/>
            <w:tcMar>
              <w:top w:w="90" w:type="dxa"/>
              <w:start w:w="110" w:type="dxa"/>
              <w:bottom w:w="90" w:type="dxa"/>
              <w:end w:w="110" w:type="dxa"/>
            </w:tcMar>
            <w:shd w:fill="F4F2EC"/>
          </w:tcPr>
          <w:p>
            <w:pPr>
              <w:pStyle w:val="Compact"/>
              <w:spacing w:after="40"/>
              <w:jc w:val="left"/>
            </w:pPr>
            <w:r>
              <w:rPr>
                <w:rFonts w:ascii="Calibri" w:hAnsi="Calibri" w:eastAsia="Calibri"/>
                <w:color w:val="142033"/>
                <w:sz w:val="18"/>
              </w:rPr>
              <w:t xml:space="preserve">Το εγχείρημα δεν πρέπει να επικοινωνείται ως συγκεκαλυμμένο Grexit ή παράκαμψη κυρώσεων</w:t>
            </w:r>
          </w:p>
        </w:tc>
      </w:tr>
    </w:tbl>
    <w:bookmarkEnd w:id="14"/>
    <w:bookmarkStart w:id="15" w:name="X42bbdec7ec5d1be754acdccd719fd627dde975e"/>
    <w:p>
      <w:pPr>
        <w:pStyle w:val="Heading1"/>
      </w:pPr>
      <w:r>
        <w:rPr>
          <w:rFonts w:ascii="Calibri" w:hAnsi="Calibri" w:eastAsia="Calibri"/>
        </w:rPr>
        <w:t xml:space="preserve">7. Πακέτα εργασίας Φάσης 0</w:t>
      </w:r>
    </w:p>
    <w:p>
      <w:pPr>
        <w:pStyle w:val="Compact"/>
        <w:numPr>
          <w:ilvl w:val="0"/>
          <w:numId w:val="1002"/>
        </w:numPr>
      </w:pPr>
      <w:r>
        <w:rPr>
          <w:rFonts w:ascii="Calibri" w:hAnsi="Calibri" w:eastAsia="Calibri"/>
        </w:rPr>
        <w:t xml:space="preserve">Νομικά πορίσματα ΕΕ/Ελλάδας και κανονιστικός αρνητικός κατάλογος·</w:t>
      </w:r>
    </w:p>
    <w:p>
      <w:pPr>
        <w:pStyle w:val="Compact"/>
        <w:numPr>
          <w:ilvl w:val="0"/>
          <w:numId w:val="1002"/>
        </w:numPr>
      </w:pPr>
      <w:r>
        <w:rPr>
          <w:rFonts w:ascii="Calibri" w:hAnsi="Calibri" w:eastAsia="Calibri"/>
        </w:rPr>
        <w:t xml:space="preserve">ανοικτές μακροοικονομικές προσομοιώσεις για αποπληθωρισμό, πίστωση, bank run και συναλλαγματική ισοτιμία·</w:t>
      </w:r>
    </w:p>
    <w:p>
      <w:pPr>
        <w:pStyle w:val="Compact"/>
        <w:numPr>
          <w:ilvl w:val="0"/>
          <w:numId w:val="1002"/>
        </w:numPr>
      </w:pPr>
      <w:r>
        <w:rPr>
          <w:rFonts w:ascii="Calibri" w:hAnsi="Calibri" w:eastAsia="Calibri"/>
        </w:rPr>
        <w:t xml:space="preserve">πρωτότυπο testnet Toccata για Constitution, Bearer και CashLot·</w:t>
      </w:r>
    </w:p>
    <w:p>
      <w:pPr>
        <w:pStyle w:val="Compact"/>
        <w:numPr>
          <w:ilvl w:val="0"/>
          <w:numId w:val="1002"/>
        </w:numPr>
      </w:pPr>
      <w:r>
        <w:rPr>
          <w:rFonts w:ascii="Calibri" w:hAnsi="Calibri" w:eastAsia="Calibri"/>
        </w:rPr>
        <w:t xml:space="preserve">τρία ανεξάρτητα αναπαραγώγιμα ευρετήρια προσφοράς (supply indexers)·</w:t>
      </w:r>
    </w:p>
    <w:p>
      <w:pPr>
        <w:pStyle w:val="Compact"/>
        <w:numPr>
          <w:ilvl w:val="0"/>
          <w:numId w:val="1002"/>
        </w:numPr>
      </w:pPr>
      <w:r>
        <w:rPr>
          <w:rFonts w:ascii="Calibri" w:hAnsi="Calibri" w:eastAsia="Calibri"/>
        </w:rPr>
        <w:t xml:space="preserve">εργαστηριακή δοκιμή secure element εκτός σύνδεσης με δύο προμηθευτές·</w:t>
      </w:r>
    </w:p>
    <w:p>
      <w:pPr>
        <w:pStyle w:val="Compact"/>
        <w:numPr>
          <w:ilvl w:val="0"/>
          <w:numId w:val="1002"/>
        </w:numPr>
      </w:pPr>
      <w:r>
        <w:rPr>
          <w:rFonts w:ascii="Calibri" w:hAnsi="Calibri" w:eastAsia="Calibri"/>
        </w:rPr>
        <w:t xml:space="preserve">διαδικασία έκδοσης/ανάκλησης/καταστροφής μετρητών χωρίς πραγματικά γραμμάτια αξίας·</w:t>
      </w:r>
    </w:p>
    <w:p>
      <w:pPr>
        <w:pStyle w:val="Compact"/>
        <w:numPr>
          <w:ilvl w:val="0"/>
          <w:numId w:val="1002"/>
        </w:numPr>
      </w:pPr>
      <w:r>
        <w:rPr>
          <w:rFonts w:ascii="Calibri" w:hAnsi="Calibri" w:eastAsia="Calibri"/>
        </w:rPr>
        <w:t xml:space="preserve">δύο ανεξάρτητοι έλεγχοι ασφαλείας και άσκηση red team·</w:t>
      </w:r>
    </w:p>
    <w:p>
      <w:pPr>
        <w:pStyle w:val="Compact"/>
        <w:numPr>
          <w:ilvl w:val="0"/>
          <w:numId w:val="1002"/>
        </w:numPr>
      </w:pPr>
      <w:r>
        <w:rPr>
          <w:rFonts w:ascii="Calibri" w:hAnsi="Calibri" w:eastAsia="Calibri"/>
        </w:rPr>
        <w:t xml:space="preserve">δημόσιες ενδιάμεσες και τελικές εκθέσεις.</w:t>
      </w:r>
    </w:p>
    <w:bookmarkEnd w:id="15"/>
    <w:bookmarkStart w:id="16" w:name="Xff66597c16cf77bcd7857d60ee9e126d678af03"/>
    <w:p>
      <w:pPr>
        <w:pStyle w:val="Heading1"/>
      </w:pPr>
      <w:r>
        <w:rPr>
          <w:rFonts w:ascii="Calibri" w:hAnsi="Calibri" w:eastAsia="Calibri"/>
        </w:rPr>
        <w:t xml:space="preserve">8. Προϋπολογισμός και διακυβέρνηση</w:t>
      </w:r>
    </w:p>
    <w:p>
      <w:pPr>
        <w:pStyle w:val="FirstParagraph"/>
      </w:pPr>
      <w:r>
        <w:rPr>
          <w:rFonts w:ascii="Calibri" w:hAnsi="Calibri" w:eastAsia="Calibri"/>
          <w:b/>
          <w:bCs/>
        </w:rPr>
        <w:t xml:space="preserve">Διάδρομος προϋπολογισμού:</w:t>
      </w:r>
      <w:r>
        <w:rPr>
          <w:rFonts w:ascii="Calibri" w:hAnsi="Calibri" w:eastAsia="Calibri"/>
        </w:rPr>
        <w:t xml:space="preserve"> </w:t>
      </w:r>
      <w:r>
        <w:rPr>
          <w:rFonts w:ascii="Calibri" w:hAnsi="Calibri" w:eastAsia="Calibri"/>
        </w:rPr>
        <w:t xml:space="preserve">0,95 έως 1,65 εκατ. ευρώ· ζητούμενο ανώτατο όριο 1,6 εκατ. ευρώ.</w:t>
      </w:r>
      <w:r>
        <w:rPr>
          <w:rFonts w:ascii="Calibri" w:hAnsi="Calibri" w:eastAsia="Calibri"/>
        </w:rPr>
        <w:br/>
      </w:r>
      <w:r>
        <w:rPr>
          <w:rFonts w:ascii="Calibri" w:hAnsi="Calibri" w:eastAsia="Calibri"/>
          <w:b/>
          <w:bCs/>
        </w:rPr>
        <w:t xml:space="preserve">Διάρκεια:</w:t>
      </w:r>
      <w:r>
        <w:rPr>
          <w:rFonts w:ascii="Calibri" w:hAnsi="Calibri" w:eastAsia="Calibri"/>
        </w:rPr>
        <w:t xml:space="preserve"> </w:t>
      </w:r>
      <w:r>
        <w:rPr>
          <w:rFonts w:ascii="Calibri" w:hAnsi="Calibri" w:eastAsia="Calibri"/>
        </w:rPr>
        <w:t xml:space="preserve">το πολύ 18 μήνες.</w:t>
      </w:r>
      <w:r>
        <w:rPr>
          <w:rFonts w:ascii="Calibri" w:hAnsi="Calibri" w:eastAsia="Calibri"/>
        </w:rPr>
        <w:br/>
      </w:r>
      <w:r>
        <w:rPr>
          <w:rFonts w:ascii="Calibri" w:hAnsi="Calibri" w:eastAsia="Calibri"/>
          <w:b/>
          <w:bCs/>
        </w:rPr>
        <w:t xml:space="preserve">Ενδιάμεση απόφαση:</w:t>
      </w:r>
      <w:r>
        <w:rPr>
          <w:rFonts w:ascii="Calibri" w:hAnsi="Calibri" w:eastAsia="Calibri"/>
        </w:rPr>
        <w:t xml:space="preserve"> </w:t>
      </w:r>
      <w:r>
        <w:rPr>
          <w:rFonts w:ascii="Calibri" w:hAnsi="Calibri" w:eastAsia="Calibri"/>
        </w:rPr>
        <w:t xml:space="preserve">μήνας 9.</w:t>
      </w:r>
      <w:r>
        <w:rPr>
          <w:rFonts w:ascii="Calibri" w:hAnsi="Calibri" w:eastAsia="Calibri"/>
        </w:rPr>
        <w:br/>
      </w:r>
      <w:r>
        <w:rPr>
          <w:rFonts w:ascii="Calibri" w:hAnsi="Calibri" w:eastAsia="Calibri"/>
          <w:b/>
          <w:bCs/>
        </w:rPr>
        <w:t xml:space="preserve">Αυτόματο sunset:</w:t>
      </w:r>
      <w:r>
        <w:rPr>
          <w:rFonts w:ascii="Calibri" w:hAnsi="Calibri" w:eastAsia="Calibri"/>
        </w:rPr>
        <w:t xml:space="preserve"> </w:t>
      </w:r>
      <w:r>
        <w:rPr>
          <w:rFonts w:ascii="Calibri" w:hAnsi="Calibri" w:eastAsia="Calibri"/>
        </w:rPr>
        <w:t xml:space="preserve">μήνας 18.</w:t>
      </w:r>
      <w:r>
        <w:rPr>
          <w:rFonts w:ascii="Calibri" w:hAnsi="Calibri" w:eastAsia="Calibri"/>
        </w:rPr>
        <w:br/>
      </w:r>
      <w:r>
        <w:rPr>
          <w:rFonts w:ascii="Calibri" w:hAnsi="Calibri" w:eastAsia="Calibri"/>
          <w:b/>
          <w:bCs/>
        </w:rPr>
        <w:t xml:space="preserve">Παρατηρητές:</w:t>
      </w:r>
      <w:r>
        <w:rPr>
          <w:rFonts w:ascii="Calibri" w:hAnsi="Calibri" w:eastAsia="Calibri"/>
        </w:rPr>
        <w:t xml:space="preserve"> </w:t>
      </w:r>
      <w:r>
        <w:rPr>
          <w:rFonts w:ascii="Calibri" w:hAnsi="Calibri" w:eastAsia="Calibri"/>
        </w:rPr>
        <w:t xml:space="preserve">ΤτΕ, Επιτροπή Κεφαλαιαγοράς, Αρχή Προστασίας Δεδομένων, Ελεγκτικό Συνέδριο, πανεπιστήμια, εκπρόσωποι τραπεζών, ναυτιλίας, νησιών και καταναλωτών.</w:t>
      </w:r>
    </w:p>
    <w:p>
      <w:pPr>
        <w:pStyle w:val="BodyText"/>
      </w:pPr>
      <w:r>
        <w:rPr>
          <w:rFonts w:ascii="Calibri" w:hAnsi="Calibri" w:eastAsia="Calibri"/>
        </w:rPr>
        <w:br w:type="page"/>
      </w:r>
    </w:p>
    <w:bookmarkEnd w:id="16"/>
    <w:bookmarkStart w:id="17" w:name="Xf4af3698c26e348ea24f0e8506971f80344d6a6"/>
    <w:p>
      <w:pPr>
        <w:pStyle w:val="Heading1"/>
      </w:pPr>
      <w:r>
        <w:rPr>
          <w:rFonts w:ascii="Calibri" w:hAnsi="Calibri" w:eastAsia="Calibri"/>
        </w:rPr>
        <w:t xml:space="preserve">9. Σκληρά κριτήρια διακοπής</w:t>
      </w:r>
    </w:p>
    <w:p>
      <w:pPr>
        <w:pStyle w:val="Compact"/>
        <w:numPr>
          <w:ilvl w:val="0"/>
          <w:numId w:val="1003"/>
        </w:numPr>
      </w:pPr>
      <w:r>
        <w:rPr>
          <w:rFonts w:ascii="Calibri" w:hAnsi="Calibri" w:eastAsia="Calibri"/>
        </w:rPr>
        <w:t xml:space="preserve">κανένα υπεύθυνο νομικό πλαίσιο ακόμη και για τον περιορισμένο πιλότο·</w:t>
      </w:r>
    </w:p>
    <w:p>
      <w:pPr>
        <w:pStyle w:val="Compact"/>
        <w:numPr>
          <w:ilvl w:val="0"/>
          <w:numId w:val="1003"/>
        </w:numPr>
      </w:pPr>
      <w:r>
        <w:rPr>
          <w:rFonts w:ascii="Calibri" w:hAnsi="Calibri" w:eastAsia="Calibri"/>
        </w:rPr>
        <w:t xml:space="preserve">αδυναμία ανεξάρτητης απόδειξης των αναλλοίωτων Mmax/μη διπλής καταμέτρησης·</w:t>
      </w:r>
    </w:p>
    <w:p>
      <w:pPr>
        <w:pStyle w:val="Compact"/>
        <w:numPr>
          <w:ilvl w:val="0"/>
          <w:numId w:val="1003"/>
        </w:numPr>
      </w:pPr>
      <w:r>
        <w:rPr>
          <w:rFonts w:ascii="Calibri" w:hAnsi="Calibri" w:eastAsia="Calibri"/>
        </w:rPr>
        <w:t xml:space="preserve">αλυσίδα εργαλείων Toccata/Silverscript χωρίς επαρκή βαθμό ελέγχου·</w:t>
      </w:r>
    </w:p>
    <w:p>
      <w:pPr>
        <w:pStyle w:val="Compact"/>
        <w:numPr>
          <w:ilvl w:val="0"/>
          <w:numId w:val="1003"/>
        </w:numPr>
      </w:pPr>
      <w:r>
        <w:rPr>
          <w:rFonts w:ascii="Calibri" w:hAnsi="Calibri" w:eastAsia="Calibri"/>
        </w:rPr>
        <w:t xml:space="preserve">απώλειες εκτός σύνδεσης ή CashLot πέραν του εγκεκριμένου προϋπολογισμού κινδύνου·</w:t>
      </w:r>
    </w:p>
    <w:p>
      <w:pPr>
        <w:pStyle w:val="Compact"/>
        <w:numPr>
          <w:ilvl w:val="0"/>
          <w:numId w:val="1003"/>
        </w:numPr>
      </w:pPr>
      <w:r>
        <w:rPr>
          <w:rFonts w:ascii="Calibri" w:hAnsi="Calibri" w:eastAsia="Calibri"/>
        </w:rPr>
        <w:t xml:space="preserve">αδυναμία επίδειξης μετανάστευσης από το Kaspa χωρίς κίνδυνο διπλής ισχύος·</w:t>
      </w:r>
    </w:p>
    <w:p>
      <w:pPr>
        <w:pStyle w:val="Compact"/>
        <w:numPr>
          <w:ilvl w:val="0"/>
          <w:numId w:val="1003"/>
        </w:numPr>
      </w:pPr>
      <w:r>
        <w:rPr>
          <w:rFonts w:ascii="Calibri" w:hAnsi="Calibri" w:eastAsia="Calibri"/>
        </w:rPr>
        <w:t xml:space="preserve">τραπεζικό/κρίσιμο καθεστώς μη βιώσιμο σε stress test·</w:t>
      </w:r>
    </w:p>
    <w:p>
      <w:pPr>
        <w:pStyle w:val="Compact"/>
        <w:numPr>
          <w:ilvl w:val="0"/>
          <w:numId w:val="1003"/>
        </w:numPr>
      </w:pPr>
      <w:r>
        <w:rPr>
          <w:rFonts w:ascii="Calibri" w:hAnsi="Calibri" w:eastAsia="Calibri"/>
        </w:rPr>
        <w:t xml:space="preserve">τεχνικά παρακάμψιμο genesis sunset·</w:t>
      </w:r>
    </w:p>
    <w:p>
      <w:pPr>
        <w:pStyle w:val="Compact"/>
        <w:numPr>
          <w:ilvl w:val="0"/>
          <w:numId w:val="1003"/>
        </w:numPr>
      </w:pPr>
      <w:r>
        <w:rPr>
          <w:rFonts w:ascii="Calibri" w:hAnsi="Calibri" w:eastAsia="Calibri"/>
        </w:rPr>
        <w:t xml:space="preserve">η επικοινωνία του έργου μετατρέπεται σε πραγματική εισαγωγή νομίσματος χωρίς απόφαση.</w:t>
      </w:r>
    </w:p>
    <w:bookmarkEnd w:id="17"/>
    <w:bookmarkStart w:id="18" w:name="Xf956ada9fe30e0df64b0f2cafcc4e246519fbe3"/>
    <w:p>
      <w:pPr>
        <w:pStyle w:val="Heading1"/>
      </w:pPr>
      <w:r>
        <w:rPr>
          <w:rFonts w:ascii="Calibri" w:hAnsi="Calibri" w:eastAsia="Calibri"/>
        </w:rPr>
        <w:t xml:space="preserve">10. Πρόταση απόφασης</w:t>
      </w:r>
    </w:p>
    <w:p>
      <w:pPr>
        <w:pStyle w:val="FirstParagraph"/>
      </w:pPr>
      <w:r>
        <w:rPr>
          <w:rFonts w:ascii="Calibri" w:hAnsi="Calibri" w:eastAsia="Calibri"/>
        </w:rPr>
        <w:t xml:space="preserve">Το Υπουργείο αποφασίζει:</w:t>
      </w:r>
    </w:p>
    <w:p>
      <w:pPr>
        <w:pStyle w:val="Compact"/>
        <w:numPr>
          <w:ilvl w:val="0"/>
          <w:numId w:val="1004"/>
        </w:numPr>
      </w:pPr>
      <w:r>
        <w:rPr>
          <w:rFonts w:ascii="Calibri" w:hAnsi="Calibri" w:eastAsia="Calibri"/>
        </w:rPr>
        <w:t xml:space="preserve">τη σύσταση του ερευνητικού προγράμματος «ΔΡΑΧ Φάση 0» για το πολύ 18 μήνες·</w:t>
      </w:r>
    </w:p>
    <w:p>
      <w:pPr>
        <w:pStyle w:val="Compact"/>
        <w:numPr>
          <w:ilvl w:val="0"/>
          <w:numId w:val="1004"/>
        </w:numPr>
      </w:pPr>
      <w:r>
        <w:rPr>
          <w:rFonts w:ascii="Calibri" w:hAnsi="Calibri" w:eastAsia="Calibri"/>
        </w:rPr>
        <w:t xml:space="preserve">ανώτατο όριο χρηματοδότησης 1,6 εκατ. ευρώ βάσει ορόσημων·</w:t>
      </w:r>
    </w:p>
    <w:p>
      <w:pPr>
        <w:pStyle w:val="Compact"/>
        <w:numPr>
          <w:ilvl w:val="0"/>
          <w:numId w:val="1004"/>
        </w:numPr>
      </w:pPr>
      <w:r>
        <w:rPr>
          <w:rFonts w:ascii="Calibri" w:hAnsi="Calibri" w:eastAsia="Calibri"/>
        </w:rPr>
        <w:t xml:space="preserve">τον ρητό περιορισμό σε testnet, προσομοίωση και νομικά πορίσματα·</w:t>
      </w:r>
    </w:p>
    <w:p>
      <w:pPr>
        <w:pStyle w:val="Compact"/>
        <w:numPr>
          <w:ilvl w:val="0"/>
          <w:numId w:val="1004"/>
        </w:numPr>
      </w:pPr>
      <w:r>
        <w:rPr>
          <w:rFonts w:ascii="Calibri" w:hAnsi="Calibri" w:eastAsia="Calibri"/>
        </w:rPr>
        <w:t xml:space="preserve">τη δημοσίευση αναλλοίωτων, πηγαίου κώδικα, αποτελεσμάτων ελέγχων και γνωστών ορίων·</w:t>
      </w:r>
    </w:p>
    <w:p>
      <w:pPr>
        <w:pStyle w:val="Compact"/>
        <w:numPr>
          <w:ilvl w:val="0"/>
          <w:numId w:val="1004"/>
        </w:numPr>
      </w:pPr>
      <w:r>
        <w:rPr>
          <w:rFonts w:ascii="Calibri" w:hAnsi="Calibri" w:eastAsia="Calibri"/>
        </w:rPr>
        <w:t xml:space="preserve">ενδιάμεση απόφαση μετά από εννέα μήνες·</w:t>
      </w:r>
    </w:p>
    <w:p>
      <w:pPr>
        <w:pStyle w:val="Compact"/>
        <w:numPr>
          <w:ilvl w:val="0"/>
          <w:numId w:val="1004"/>
        </w:numPr>
      </w:pPr>
      <w:r>
        <w:rPr>
          <w:rFonts w:ascii="Calibri" w:hAnsi="Calibri" w:eastAsia="Calibri"/>
        </w:rPr>
        <w:t xml:space="preserve">αυτόματη λήξη ελλείψει ειδικής απόφασης συνέχισης·</w:t>
      </w:r>
    </w:p>
    <w:p>
      <w:pPr>
        <w:pStyle w:val="Compact"/>
        <w:numPr>
          <w:ilvl w:val="0"/>
          <w:numId w:val="1004"/>
        </w:numPr>
      </w:pPr>
      <w:r>
        <w:rPr>
          <w:rFonts w:ascii="Calibri" w:hAnsi="Calibri" w:eastAsia="Calibri"/>
        </w:rPr>
        <w:t xml:space="preserve">την υποβολή τελικής έκθεσης με τις επιλογές</w:t>
      </w:r>
      <w:r>
        <w:rPr>
          <w:rFonts w:ascii="Calibri" w:hAnsi="Calibri" w:eastAsia="Calibri"/>
        </w:rPr>
        <w:t xml:space="preserve"> </w:t>
      </w:r>
      <w:r>
        <w:rPr>
          <w:rFonts w:ascii="Calibri" w:hAnsi="Calibri" w:eastAsia="Calibri"/>
          <w:b/>
          <w:bCs/>
        </w:rPr>
        <w:t xml:space="preserve">No-Go</w:t>
      </w:r>
      <w:r>
        <w:rPr>
          <w:rFonts w:ascii="Calibri" w:hAnsi="Calibri" w:eastAsia="Calibri"/>
        </w:rPr>
        <w:t xml:space="preserve">,</w:t>
      </w:r>
      <w:r>
        <w:rPr>
          <w:rFonts w:ascii="Calibri" w:hAnsi="Calibri" w:eastAsia="Calibri"/>
        </w:rPr>
        <w:t xml:space="preserve"> </w:t>
      </w:r>
      <w:r>
        <w:rPr>
          <w:rFonts w:ascii="Calibri" w:hAnsi="Calibri" w:eastAsia="Calibri"/>
          <w:b/>
          <w:bCs/>
        </w:rPr>
        <w:t xml:space="preserve">Research-Only</w:t>
      </w:r>
      <w:r>
        <w:rPr>
          <w:rFonts w:ascii="Calibri" w:hAnsi="Calibri" w:eastAsia="Calibri"/>
        </w:rPr>
        <w:t xml:space="preserve">,</w:t>
      </w:r>
      <w:r>
        <w:rPr>
          <w:rFonts w:ascii="Calibri" w:hAnsi="Calibri" w:eastAsia="Calibri"/>
        </w:rPr>
        <w:t xml:space="preserve"> </w:t>
      </w:r>
      <w:r>
        <w:rPr>
          <w:rFonts w:ascii="Calibri" w:hAnsi="Calibri" w:eastAsia="Calibri"/>
          <w:b/>
          <w:bCs/>
        </w:rPr>
        <w:t xml:space="preserve">περιορισμένος εθελοντικός πιλότος μετά από νομική έγκριση</w:t>
      </w:r>
      <w:r>
        <w:rPr>
          <w:rFonts w:ascii="Calibri" w:hAnsi="Calibri" w:eastAsia="Calibri"/>
        </w:rPr>
        <w:t xml:space="preserve"> </w:t>
      </w:r>
      <w:r>
        <w:rPr>
          <w:rFonts w:ascii="Calibri" w:hAnsi="Calibri" w:eastAsia="Calibri"/>
        </w:rPr>
        <w:t xml:space="preserve">ή</w:t>
      </w:r>
      <w:r>
        <w:rPr>
          <w:rFonts w:ascii="Calibri" w:hAnsi="Calibri" w:eastAsia="Calibri"/>
        </w:rPr>
        <w:t xml:space="preserve"> </w:t>
      </w:r>
      <w:r>
        <w:rPr>
          <w:rFonts w:ascii="Calibri" w:hAnsi="Calibri" w:eastAsia="Calibri"/>
          <w:b/>
          <w:bCs/>
        </w:rPr>
        <w:t xml:space="preserve">ξεχωριστή εξέταση κυρίαρχου σεναρίου</w:t>
      </w:r>
      <w:r>
        <w:rPr>
          <w:rFonts w:ascii="Calibri" w:hAnsi="Calibri" w:eastAsia="Calibri"/>
        </w:rPr>
        <w:t xml:space="preserve">.</w:t>
      </w:r>
    </w:p>
    <w:bookmarkEnd w:id="18"/>
    <w:bookmarkStart w:id="19" w:name="Xf447b4ef87e58566024b350a071630921d1480b"/>
    <w:p>
      <w:pPr>
        <w:pStyle w:val="Heading1"/>
      </w:pPr>
      <w:r>
        <w:rPr>
          <w:rFonts w:ascii="Calibri" w:hAnsi="Calibri" w:eastAsia="Calibri"/>
        </w:rPr>
        <w:t xml:space="preserve">11. Πυρήνας πηγών</w:t>
      </w:r>
    </w:p>
    <w:p>
      <w:pPr>
        <w:pStyle w:val="FirstParagraph"/>
      </w:pPr>
      <w:r>
        <w:rPr>
          <w:rFonts w:ascii="Calibri" w:hAnsi="Calibri" w:eastAsia="Calibri"/>
        </w:rPr>
        <w:t xml:space="preserve">Kaspa Toccata Dev Guide· άρθρο 128 ΣΛΕΕ· Κανονισμός (ΕΚ) αριθ. 974/98· MiCA (ΕΕ) 2023/1114· Νόμος 5193/2025/Τράπεζα της Ελλάδος· Κανονισμοί ΕΕ 2023/1113 και 2024/1624· ECB Digital Euro FAQ· UNCTAD Review of Maritime Transport 2025· Τράπεζα της Ελλάδος, Τουρισμός 2025. Πλήρες μητρώο στη λευκή βίβλο.</w:t>
      </w:r>
    </w:p>
    <w:bookmarkEnd w:id="19"/>
    <w:sectPr>
      <w:headerReference w:type="default" r:id="rId10"/>
      <w:footerReference w:type="default" r:id="rId11"/>
      <w:footnotePr>
        <w:numRestart w:val="eachSect"/>
      </w:footnotePr>
      <w:pgSz w:w="12240" w:h="15840"/>
      <w:pgMar w:top="1440" w:bottom="1440" w:left="1440" w:right="1440" w:header="648" w:footer="648"/>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eastAsia="Calibri"/>
        <w:color w:val="5F6B7A"/>
        <w:sz w:val="16"/>
      </w:rPr>
      <w:t xml:space="preserve">Σελίδα </w:t>
    </w:r>
    <w:r>
      <w:rPr>
        <w:rFonts w:ascii="Calibri" w:hAnsi="Calibri" w:eastAsia="Calibri"/>
        <w:color w:val="5F6B7A"/>
        <w:sz w:val="16"/>
      </w:rPr>
      <w:fldChar w:fldCharType="begin"/>
      <w:instrText xml:space="preserve"> PAGE </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eastAsia="Calibri"/>
        <w:b/>
        <w:color w:val="5F6B7A"/>
        <w:sz w:val="16"/>
      </w:rPr>
      <w:t>ΠΡΟΓΡΑΜΜΑ DRX — ΑΝΕΞΑΡΤΗΤΗ ΔΡΑΧΜΗ  ·  ΔΡΑΧ</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l-GR"/>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20" w:line="264" w:lineRule="auto"/>
      <w:jc w:val="left"/>
    </w:pPr>
    <w:rPr>
      <w:rFonts w:ascii="Calibri" w:hAnsi="Calibri" w:eastAsia="Calibri"/>
      <w:sz w:val="22"/>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keepNext/>
      <w:spacing w:after="200" w:line="240" w:lineRule="auto" w:before="0"/>
      <w:contextualSpacing/>
      <w:jc w:val="center"/>
    </w:pPr>
    <w:rPr>
      <w:rFonts w:asciiTheme="majorHAnsi" w:cstheme="majorBidi" w:eastAsiaTheme="majorEastAsia" w:hAnsiTheme="majorHAnsi" w:ascii="Calibri" w:hAnsi="Calibri" w:eastAsia="Calibri"/>
      <w:b/>
      <w:color w:val="071426"/>
      <w:sz w:val="48"/>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keepNext/>
      <w:numPr>
        <w:ilvl w:val="1"/>
      </w:numPr>
      <w:spacing w:before="0" w:after="400"/>
    </w:pPr>
    <w:rPr>
      <w:rFonts w:cstheme="majorBidi" w:eastAsiaTheme="majorEastAsia" w:ascii="Calibri" w:hAnsi="Calibri" w:eastAsia="Calibri"/>
      <w:b w:val="0"/>
      <w:color w:val="5F6B7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160" w:before="360"/>
      <w:outlineLvl w:val="0"/>
    </w:pPr>
    <w:rPr>
      <w:rFonts w:asciiTheme="majorHAnsi" w:cstheme="majorBidi" w:eastAsiaTheme="majorEastAsia" w:hAnsiTheme="majorHAnsi" w:ascii="Calibri" w:hAnsi="Calibri" w:eastAsia="Calibri"/>
      <w:b/>
      <w:color w:val="1B4F78"/>
      <w:sz w:val="32"/>
      <w:szCs w:val="40"/>
    </w:rPr>
  </w:style>
  <w:style w:styleId="Heading2" w:type="paragraph">
    <w:name w:val="heading 2"/>
    <w:basedOn w:val="Normal"/>
    <w:next w:val="BodyText"/>
    <w:link w:val="Heading2Char"/>
    <w:uiPriority w:val="9"/>
    <w:semiHidden/>
    <w:unhideWhenUsed/>
    <w:qFormat/>
    <w:rsid w:val="00A10FD9"/>
    <w:pPr>
      <w:keepNext/>
      <w:keepLines/>
      <w:spacing w:after="120" w:before="280"/>
      <w:outlineLvl w:val="1"/>
    </w:pPr>
    <w:rPr>
      <w:rFonts w:asciiTheme="majorHAnsi" w:cstheme="majorBidi" w:eastAsiaTheme="majorEastAsia" w:hAnsiTheme="majorHAnsi" w:ascii="Calibri" w:hAnsi="Calibri" w:eastAsia="Calibri"/>
      <w:b/>
      <w:color w:val="1B4F78"/>
      <w:sz w:val="26"/>
      <w:szCs w:val="32"/>
    </w:rPr>
  </w:style>
  <w:style w:styleId="Heading3" w:type="paragraph">
    <w:name w:val="heading 3"/>
    <w:basedOn w:val="Normal"/>
    <w:next w:val="BodyText"/>
    <w:link w:val="Heading3Char"/>
    <w:uiPriority w:val="9"/>
    <w:semiHidden/>
    <w:unhideWhenUsed/>
    <w:qFormat/>
    <w:rsid w:val="00A10FD9"/>
    <w:pPr>
      <w:keepNext/>
      <w:keepLines/>
      <w:spacing w:after="80" w:before="200"/>
      <w:outlineLvl w:val="2"/>
    </w:pPr>
    <w:rPr>
      <w:rFonts w:cstheme="majorBidi" w:eastAsiaTheme="majorEastAsia" w:ascii="Calibri" w:hAnsi="Calibri" w:eastAsia="Calibri"/>
      <w:b/>
      <w:color w:val="071426"/>
      <w:sz w:val="22"/>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image" Target="media/image1.jpg"/><Relationship Id="rId10" Type="http://schemas.openxmlformats.org/officeDocument/2006/relationships/header" Target="header1.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ΠΡΟΓΡΑΜΜΑ DRX — ΑΝΕΞΑΡΤΗΤΗ ΔΡΑΧΜΗ — Υπόμνημα Εκτελεστικής Απόφασης</dc:title>
  <dc:creator>Vendetta Labs · Gio (Kaspartizan)</dc:creator>
  <dc:language>el-GR</dc:language>
  <cp:keywords/>
  <dcterms:created xsi:type="dcterms:W3CDTF">2026-09-01T14:34:07Z</dcterms:created>
  <dcterms:modified xsi:type="dcterms:W3CDTF">2026-09-01T14:34:07Z</dcterms:modified>
  <dc:subject>Δημόσια ερευνητική έκδοση · Χωρίς κρατική εντολή · Δεν αποτελεί νόμιμο μέσο πληρωμής</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1 Σεπτεμβρίου 2026</vt:lpwstr>
  </property>
  <property fmtid="{D5CDD505-2E9C-101B-9397-08002B2CF9AE}" pid="3" name="subtitle">
    <vt:lpwstr>ΠΡΟΓΡΑΜΜΑ DRX — ΑΝΕΞΑΡΤΗΤΗ ΔΡΑΧΜΗ · dig Δραχμή (ΔΡΑΧ)</vt:lpwstr>
  </property>
</Properties>
</file>