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left"/>
      </w:pPr>
      <w:r>
        <w:rPr>
          <w:rFonts w:ascii="Calibri" w:hAnsi="Calibri" w:eastAsia="Calibri"/>
        </w:rPr>
        <w:drawing>
          <wp:inline>
            <wp:extent cx="1024128" cy="1024128"/>
            <wp:docPr id="1" name="Picture 1"/>
            <wp:cNvGraphicFramePr>
              <a:graphicFrameLocks noChangeAspect="1"/>
            </wp:cNvGraphicFramePr>
            <a:graphic>
              <a:graphicData uri="http://schemas.openxmlformats.org/drawingml/2006/picture">
                <pic:pic>
                  <pic:nvPicPr>
                    <pic:cNvPr id="0" name="drx-logo.jpg"/>
                    <pic:cNvPicPr/>
                  </pic:nvPicPr>
                  <pic:blipFill>
                    <a:blip r:embed="rId9"/>
                    <a:stretch>
                      <a:fillRect/>
                    </a:stretch>
                  </pic:blipFill>
                  <pic:spPr>
                    <a:xfrm>
                      <a:off x="0" y="0"/>
                      <a:ext cx="1024128" cy="1024128"/>
                    </a:xfrm>
                    <a:prstGeom prst="rect"/>
                  </pic:spPr>
                </pic:pic>
              </a:graphicData>
            </a:graphic>
          </wp:inline>
        </w:drawing>
      </w:r>
    </w:p>
    <w:p>
      <w:pPr>
        <w:spacing w:after="80"/>
        <w:jc w:val="left"/>
      </w:pPr>
      <w:r>
        <w:rPr>
          <w:rFonts w:ascii="Calibri" w:hAnsi="Calibri" w:eastAsia="Calibri"/>
          <w:b/>
          <w:color w:val="A67727"/>
          <w:sz w:val="22"/>
        </w:rPr>
        <w:t>ΠΡΟΓΡΑΜΜΑ DRX — ΑΝΕΞΑΡΤΗΤΗ ΔΡΑΧΜΗ</w:t>
      </w:r>
    </w:p>
    <w:p>
      <w:pPr>
        <w:spacing w:after="280"/>
        <w:jc w:val="left"/>
      </w:pPr>
      <w:r>
        <w:rPr>
          <w:rFonts w:ascii="Calibri" w:hAnsi="Calibri" w:eastAsia="Calibri"/>
          <w:b/>
          <w:color w:val="5F6B7A"/>
          <w:sz w:val="17"/>
        </w:rPr>
        <w:t>ΕΛΛΗΝΙΚΗ ΠΡΩΤΟΒΟΥΛΙΑ ΝΟΜΙΣΜΑΤΙΚΗΣ ΤΕΧΝΟΛΟΓΙΑΣ</w:t>
      </w:r>
    </w:p>
    <w:p>
      <w:pPr>
        <w:pStyle w:val="Title"/>
        <w:jc w:val="left"/>
      </w:pPr>
      <w:r>
        <w:rPr>
          <w:rFonts w:ascii="Calibri" w:hAnsi="Calibri" w:eastAsia="Calibri"/>
        </w:rPr>
        <w:t xml:space="preserve">Επιστολή Υποβολής προς το Υπουργείο και Πρότυπο</w:t>
      </w:r>
    </w:p>
    <w:p>
      <w:pPr>
        <w:pStyle w:val="Subtitle"/>
        <w:jc w:val="left"/>
      </w:pPr>
      <w:r>
        <w:rPr>
          <w:rFonts w:ascii="Calibri" w:hAnsi="Calibri" w:eastAsia="Calibri"/>
        </w:rPr>
        <w:t xml:space="preserve">ΠΡΟΓΡΑΜΜΑ DRX — ΑΝΕΞΑΡΤΗΤΗ ΔΡΑΧΜΗ · dig Δραχμή (ΔΡΑΧ)</w:t>
      </w:r>
    </w:p>
    <w:p>
      <w:pPr>
        <w:pStyle w:val="Author"/>
      </w:pPr>
      <w:r>
        <w:rPr>
          <w:rFonts w:ascii="Calibri" w:hAnsi="Calibri" w:eastAsia="Calibri"/>
        </w:rPr>
        <w:t xml:space="preserve">Vendetta Labs · Gio (Kaspartizan)</w:t>
      </w:r>
    </w:p>
    <w:p>
      <w:pPr>
        <w:pStyle w:val="Date"/>
      </w:pPr>
      <w:r>
        <w:rPr>
          <w:rFonts w:ascii="Calibri" w:hAnsi="Calibri" w:eastAsia="Calibri"/>
        </w:rPr>
        <w:t xml:space="preserve">1 Σεπτεμβρίου 2026</w:t>
      </w:r>
    </w:p>
    <w:p>
      <w:pPr>
        <w:pStyle w:val="FirstParagraph"/>
      </w:pPr>
      <w:r>
        <w:rPr>
          <w:rFonts w:ascii="Calibri" w:hAnsi="Calibri" w:eastAsia="Calibri"/>
          <w:b/>
          <w:bCs/>
        </w:rPr>
        <w:t xml:space="preserve">Προς</w:t>
      </w:r>
      <w:r>
        <w:rPr>
          <w:rFonts w:ascii="Calibri" w:hAnsi="Calibri" w:eastAsia="Calibri"/>
        </w:rPr>
        <w:br/>
      </w:r>
      <w:r>
        <w:rPr>
          <w:rFonts w:ascii="Calibri" w:hAnsi="Calibri" w:eastAsia="Calibri"/>
        </w:rPr>
        <w:t xml:space="preserve">Υπουργείο Εθνικής Οικονομίας και Οικονομικών</w:t>
      </w:r>
      <w:r>
        <w:rPr>
          <w:rFonts w:ascii="Calibri" w:hAnsi="Calibri" w:eastAsia="Calibri"/>
        </w:rPr>
        <w:br/>
      </w:r>
      <w:r>
        <w:rPr>
          <w:rFonts w:ascii="Calibri" w:hAnsi="Calibri" w:eastAsia="Calibri"/>
        </w:rPr>
        <w:t xml:space="preserve">Υπ' όψιν [Όνομα / Ιδιότητα]</w:t>
      </w:r>
      <w:r>
        <w:rPr>
          <w:rFonts w:ascii="Calibri" w:hAnsi="Calibri" w:eastAsia="Calibri"/>
        </w:rPr>
        <w:br/>
      </w:r>
      <w:r>
        <w:rPr>
          <w:rFonts w:ascii="Calibri" w:hAnsi="Calibri" w:eastAsia="Calibri"/>
        </w:rPr>
        <w:t xml:space="preserve">[Υπηρεσιακή διεύθυνση]</w:t>
      </w:r>
    </w:p>
    <w:p>
      <w:pPr>
        <w:pStyle w:val="BodyText"/>
      </w:pPr>
      <w:r>
        <w:rPr>
          <w:rFonts w:ascii="Calibri" w:hAnsi="Calibri" w:eastAsia="Calibri"/>
          <w:b/>
          <w:bCs/>
        </w:rPr>
        <w:t xml:space="preserve">Από</w:t>
      </w:r>
      <w:r>
        <w:rPr>
          <w:rFonts w:ascii="Calibri" w:hAnsi="Calibri" w:eastAsia="Calibri"/>
        </w:rPr>
        <w:br/>
      </w:r>
      <w:r>
        <w:rPr>
          <w:rFonts w:ascii="Calibri" w:hAnsi="Calibri" w:eastAsia="Calibri"/>
        </w:rPr>
        <w:t xml:space="preserve">Vendetta Labs</w:t>
      </w:r>
      <w:r>
        <w:rPr>
          <w:rFonts w:ascii="Calibri" w:hAnsi="Calibri" w:eastAsia="Calibri"/>
        </w:rPr>
        <w:br/>
      </w:r>
      <w:r>
        <w:rPr>
          <w:rFonts w:ascii="Calibri" w:hAnsi="Calibri" w:eastAsia="Calibri"/>
        </w:rPr>
        <w:t xml:space="preserve">Gio (Kaspartizan)</w:t>
      </w:r>
      <w:r>
        <w:rPr>
          <w:rFonts w:ascii="Calibri" w:hAnsi="Calibri" w:eastAsia="Calibri"/>
        </w:rPr>
        <w:br/>
      </w:r>
      <w:r>
        <w:rPr>
          <w:rFonts w:ascii="Calibri" w:hAnsi="Calibri" w:eastAsia="Calibri"/>
        </w:rPr>
        <w:t xml:space="preserve">[Διεύθυνση] · [E-mail] · [Τηλέφωνο]</w:t>
      </w:r>
    </w:p>
    <w:p>
      <w:pPr>
        <w:pStyle w:val="BodyText"/>
      </w:pPr>
      <w:r>
        <w:rPr>
          <w:rFonts w:ascii="Calibri" w:hAnsi="Calibri" w:eastAsia="Calibri"/>
          <w:b/>
          <w:bCs/>
        </w:rPr>
        <w:t xml:space="preserve">Θέμα:</w:t>
      </w:r>
      <w:r>
        <w:rPr>
          <w:rFonts w:ascii="Calibri" w:hAnsi="Calibri" w:eastAsia="Calibri"/>
        </w:rPr>
        <w:t xml:space="preserve"> </w:t>
      </w:r>
      <w:r>
        <w:rPr>
          <w:rFonts w:ascii="Calibri" w:hAnsi="Calibri" w:eastAsia="Calibri"/>
        </w:rPr>
        <w:t xml:space="preserve">Αίτημα εξειδικευμένης εξέτασης και περιορισμένης ερευνητικής άδειας - «dig Δραχμή (ΔΡΑΧ)», Φάση 0</w:t>
      </w:r>
    </w:p>
    <w:p>
      <w:pPr>
        <w:pStyle w:val="BodyText"/>
      </w:pPr>
      <w:r>
        <w:rPr>
          <w:rFonts w:ascii="Calibri" w:hAnsi="Calibri" w:eastAsia="Calibri"/>
        </w:rPr>
        <w:t xml:space="preserve">Κύριε ή Κυρία,</w:t>
      </w:r>
    </w:p>
    <w:p>
      <w:pPr>
        <w:pStyle w:val="BodyText"/>
      </w:pPr>
      <w:r>
        <w:rPr>
          <w:rFonts w:ascii="Calibri" w:hAnsi="Calibri" w:eastAsia="Calibri"/>
        </w:rPr>
        <w:t xml:space="preserve">σας υποβάλλω συνημμένη μια προκαταρκτική μελέτη σκοπιμότητας για μια ανεξάρτητη, σκληρή λογιστική μονάδα με τον τίτλο εργασίας</w:t>
      </w:r>
      <w:r>
        <w:rPr>
          <w:rFonts w:ascii="Calibri" w:hAnsi="Calibri" w:eastAsia="Calibri"/>
        </w:rPr>
        <w:t xml:space="preserve"> </w:t>
      </w:r>
      <w:r>
        <w:rPr>
          <w:rFonts w:ascii="Calibri" w:hAnsi="Calibri" w:eastAsia="Calibri"/>
          <w:b/>
          <w:bCs/>
        </w:rPr>
        <w:t xml:space="preserve">dig Δραχμή (ΔΡΑΧ)</w:t>
      </w:r>
      <w:r>
        <w:rPr>
          <w:rFonts w:ascii="Calibri" w:hAnsi="Calibri" w:eastAsia="Calibri"/>
        </w:rPr>
        <w:t xml:space="preserve">. Το υπό εξέταση μοντέλο αφορά ψηφιακή αξία στον κομιστή (bearer value) επί του Kaspa Toccata, η οποία συνυπάρχει με αξία εκτός σύνδεσης (offline), καθώς και με πλήρως ψηφιακά καλυμμένα τραπεζογραμμάτια και κέρματα, εντός μίας ενιαίας και δημόσια επαληθεύσιμης νομισματικής μάζας.</w:t>
      </w:r>
    </w:p>
    <w:p>
      <w:pPr>
        <w:pStyle w:val="BodyText"/>
      </w:pPr>
      <w:r>
        <w:rPr>
          <w:rFonts w:ascii="Calibri" w:hAnsi="Calibri" w:eastAsia="Calibri"/>
        </w:rPr>
        <w:t xml:space="preserve">Η πρόταση αποτελεί ρητώς</w:t>
      </w:r>
      <w:r>
        <w:rPr>
          <w:rFonts w:ascii="Calibri" w:hAnsi="Calibri" w:eastAsia="Calibri"/>
        </w:rPr>
        <w:t xml:space="preserve"> </w:t>
      </w:r>
      <w:r>
        <w:rPr>
          <w:rFonts w:ascii="Calibri" w:hAnsi="Calibri" w:eastAsia="Calibri"/>
          <w:b/>
          <w:bCs/>
        </w:rPr>
        <w:t xml:space="preserve">ούτε αίτημα εισαγωγής νομίσματος ούτε σύσταση εξόδου από την ευρωζώνη</w:t>
      </w:r>
      <w:r>
        <w:rPr>
          <w:rFonts w:ascii="Calibri" w:hAnsi="Calibri" w:eastAsia="Calibri"/>
        </w:rPr>
        <w:t xml:space="preserve">. Εντός του ισχύοντος νομικού πλαισίου ζητείται αποκλειστικά μια χρονικά περιορισμένη Φάση 0: νομικά πορίσματα, μακροοικονομικές προσομοιώσεις, ένα πρωτότυπο testnet χωρίς αξία και τεχνικές εργαστηριακές δοκιμές. Δεν προτίθεται η δημιουργία tokens με πραγματική χρηματική αξία, εθνικών τραπεζογραμματίων ή κερμάτων, αποδοχής για φορολογικές πληρωμές ή νόμιμης υποχρέωσης αποδοχής.</w:t>
      </w:r>
    </w:p>
    <w:p>
      <w:pPr>
        <w:pStyle w:val="BodyText"/>
      </w:pPr>
      <w:r>
        <w:rPr>
          <w:rFonts w:ascii="Calibri" w:hAnsi="Calibri" w:eastAsia="Calibri"/>
        </w:rPr>
        <w:t xml:space="preserve">Το σύστημα ακολουθεί τέσσερις επαληθεύσιμες αρχές:</w:t>
      </w:r>
    </w:p>
    <w:p>
      <w:pPr>
        <w:pStyle w:val="Compact"/>
        <w:numPr>
          <w:ilvl w:val="0"/>
          <w:numId w:val="1001"/>
        </w:numPr>
      </w:pPr>
      <w:r>
        <w:rPr>
          <w:rFonts w:ascii="Calibri" w:hAnsi="Calibri" w:eastAsia="Calibri"/>
        </w:rPr>
        <w:t xml:space="preserve">Η συνολική ποσότητα είναι εκ των προτέρων περιορισμένη· κυβέρνηση, τράπεζα και διακυβέρνηση δεν κατέχουν δικαίωμα έκτακτης έκδοσης (mint).</w:t>
      </w:r>
    </w:p>
    <w:p>
      <w:pPr>
        <w:pStyle w:val="Compact"/>
        <w:numPr>
          <w:ilvl w:val="0"/>
          <w:numId w:val="1001"/>
        </w:numPr>
      </w:pPr>
      <w:r>
        <w:rPr>
          <w:rFonts w:ascii="Calibri" w:hAnsi="Calibri" w:eastAsia="Calibri"/>
        </w:rPr>
        <w:t xml:space="preserve">Η ψηφιακή αξία, η αξία εκτός σύνδεσης, το χαρτί και το μέταλλο αποτελούν μορφές της ίδιας μονάδας. Φυσικό χρήμα δημιουργείται μόνο έναντι ισότιμης δέσμευσης on-chain.</w:t>
      </w:r>
    </w:p>
    <w:p>
      <w:pPr>
        <w:pStyle w:val="Compact"/>
        <w:numPr>
          <w:ilvl w:val="0"/>
          <w:numId w:val="1001"/>
        </w:numPr>
      </w:pPr>
      <w:r>
        <w:rPr>
          <w:rFonts w:ascii="Calibri" w:hAnsi="Calibri" w:eastAsia="Calibri"/>
        </w:rPr>
        <w:t xml:space="preserve">Το κράτος είναι χρονικά περιορισμένος Genesis Steward (αρχικός τεχνικός διαχειριστής). Τα δικαιώματα έκδοσης (mint), δέσμευσης (freeze) και αναβάθμισης λήγουν μετά από τεχνικά καθορισμένο sunset.</w:t>
      </w:r>
    </w:p>
    <w:p>
      <w:pPr>
        <w:pStyle w:val="Compact"/>
        <w:numPr>
          <w:ilvl w:val="0"/>
          <w:numId w:val="1001"/>
        </w:numPr>
      </w:pPr>
      <w:r>
        <w:rPr>
          <w:rFonts w:ascii="Calibri" w:hAnsi="Calibri" w:eastAsia="Calibri"/>
        </w:rPr>
        <w:t xml:space="preserve">Η μελέτη κατονομάζει ανοιχτά τα αντεπιχειρήματα: δίκαιο της ευρωζώνης, εξάρτηση από το Kaspa, κίνδυνοι αποπληθωρισμού και πίστωσης, απουσία απεριόριστου δανειστή έσχατης ανάγκης, double spend εκτός σύνδεσης και θεσμική εμπιστοσύνη στον βραχίονα των μετρητών.</w:t>
      </w:r>
    </w:p>
    <w:p>
      <w:pPr>
        <w:pStyle w:val="FirstParagraph"/>
      </w:pPr>
      <w:r>
        <w:rPr>
          <w:rFonts w:ascii="Calibri" w:hAnsi="Calibri" w:eastAsia="Calibri"/>
        </w:rPr>
        <w:t xml:space="preserve">Ζητείται η σύσταση ενός διακλαδικού ερευνητικού προγράμματος για το πολύ 18 μήνες με ανώτατο όριο βάσει ορόσημων ύψους 1,6 εκατ. ευρώ. Ενδιάμεση απόφαση πρέπει να ληφθεί μετά από εννέα μήνες· ελλείψει νέας απόφασης, το πρόγραμμα λήγει αυτόματα. Η Τράπεζα της Ελλάδος, η Επιτροπή Κεφαλαιαγοράς, η Αρχή Προστασίας Δεδομένων, το Ελεγκτικό Συνέδριο καθώς και ανεξάρτητοι νομικοί, μακροοικονομολόγοι και ειδικοί ασφαλείας θα πρέπει να συμμετέχουν ως παρατηρητές ή αξιολογητές αντίστοιχα.</w:t>
      </w:r>
    </w:p>
    <w:p>
      <w:pPr>
        <w:pStyle w:val="BodyText"/>
      </w:pPr>
      <w:r>
        <w:rPr>
          <w:rFonts w:ascii="Calibri" w:hAnsi="Calibri" w:eastAsia="Calibri"/>
        </w:rPr>
        <w:t xml:space="preserve">Το όφελος για το κράτος υφίσταται ακόμη και αν το αποτέλεσμα είναι «No-Go»: η Ελλάδα κερδίζει αξιόπιστη επάρκεια σε UTXO covenants, ψηφιακά καλυμμένο μετρητό, πληρωμές εκτός σύνδεσης και κανονιστικά δεσμευμένη νομισματική αρχιτεκτονική. Η έρευνα ενισχύει έτσι την ικανότητα αντικειμενικής αξιολόγησης μελλοντικών διεθνών μοντέλων πληρωμών και ψηφιακού χρήματος.</w:t>
      </w:r>
    </w:p>
    <w:p>
      <w:pPr>
        <w:pStyle w:val="BodyText"/>
      </w:pPr>
      <w:r>
        <w:rPr>
          <w:rFonts w:ascii="Calibri" w:hAnsi="Calibri" w:eastAsia="Calibri"/>
        </w:rPr>
        <w:t xml:space="preserve">Παρακαλώ για:</w:t>
      </w:r>
    </w:p>
    <w:p>
      <w:pPr>
        <w:pStyle w:val="Compact"/>
        <w:numPr>
          <w:ilvl w:val="0"/>
          <w:numId w:val="1002"/>
        </w:numPr>
      </w:pPr>
      <w:r>
        <w:rPr>
          <w:rFonts w:ascii="Calibri" w:hAnsi="Calibri" w:eastAsia="Calibri"/>
        </w:rPr>
        <w:t xml:space="preserve">τον ορισμό εξειδικευμένου σημείου επαφής·</w:t>
      </w:r>
    </w:p>
    <w:p>
      <w:pPr>
        <w:pStyle w:val="Compact"/>
        <w:numPr>
          <w:ilvl w:val="0"/>
          <w:numId w:val="1002"/>
        </w:numPr>
      </w:pPr>
      <w:r>
        <w:rPr>
          <w:rFonts w:ascii="Calibri" w:hAnsi="Calibri" w:eastAsia="Calibri"/>
        </w:rPr>
        <w:t xml:space="preserve">την εξέταση του επισυναπτόμενου εισηγητικού σημειώματος απόφασης·</w:t>
      </w:r>
    </w:p>
    <w:p>
      <w:pPr>
        <w:pStyle w:val="Compact"/>
        <w:numPr>
          <w:ilvl w:val="0"/>
          <w:numId w:val="1002"/>
        </w:numPr>
      </w:pPr>
      <w:r>
        <w:rPr>
          <w:rFonts w:ascii="Calibri" w:hAnsi="Calibri" w:eastAsia="Calibri"/>
        </w:rPr>
        <w:t xml:space="preserve">την άδεια παρουσίασης του εγχειρήματος σε τεχνική και νομική ειδική συζήτηση·</w:t>
      </w:r>
    </w:p>
    <w:p>
      <w:pPr>
        <w:pStyle w:val="Compact"/>
        <w:numPr>
          <w:ilvl w:val="0"/>
          <w:numId w:val="1002"/>
        </w:numPr>
      </w:pPr>
      <w:r>
        <w:rPr>
          <w:rFonts w:ascii="Calibri" w:hAnsi="Calibri" w:eastAsia="Calibri"/>
        </w:rPr>
        <w:t xml:space="preserve">σε περίπτωση αρχικής ενδιαφέροντος, την κατάρτιση τυπικής εντολής Φάσης 0 υπό υπουργική καθοδήγηση.</w:t>
      </w:r>
    </w:p>
    <w:p>
      <w:pPr>
        <w:pStyle w:val="FirstParagraph"/>
      </w:pPr>
      <w:r>
        <w:rPr>
          <w:rFonts w:ascii="Calibri" w:hAnsi="Calibri" w:eastAsia="Calibri"/>
        </w:rPr>
        <w:t xml:space="preserve">Με εκτίμηση,</w:t>
      </w:r>
    </w:p>
    <w:p>
      <w:pPr>
        <w:pStyle w:val="BodyText"/>
      </w:pPr>
      <w:r>
        <w:rPr>
          <w:rFonts w:ascii="Calibri" w:hAnsi="Calibri" w:eastAsia="Calibri"/>
          <w:b/>
          <w:bCs/>
        </w:rPr>
        <w:t xml:space="preserve">Gio (Kaspartizan)</w:t>
      </w:r>
      <w:r>
        <w:rPr>
          <w:rFonts w:ascii="Calibri" w:hAnsi="Calibri" w:eastAsia="Calibri"/>
        </w:rPr>
        <w:br/>
      </w:r>
      <w:r>
        <w:rPr>
          <w:rFonts w:ascii="Calibri" w:hAnsi="Calibri" w:eastAsia="Calibri"/>
        </w:rPr>
        <w:t xml:space="preserve">Vendetta Labs</w:t>
      </w:r>
    </w:p>
    <w:p>
      <w:pPr>
        <w:pStyle w:val="BodyText"/>
      </w:pPr>
      <w:r>
        <w:rPr>
          <w:rFonts w:ascii="Calibri" w:hAnsi="Calibri" w:eastAsia="Calibri"/>
          <w:b/>
          <w:bCs/>
        </w:rPr>
        <w:t xml:space="preserve">Συνημμένα:</w:t>
      </w:r>
    </w:p>
    <w:p>
      <w:pPr>
        <w:pStyle w:val="Compact"/>
        <w:numPr>
          <w:ilvl w:val="0"/>
          <w:numId w:val="1003"/>
        </w:numPr>
      </w:pPr>
      <w:r>
        <w:rPr>
          <w:rFonts w:ascii="Calibri" w:hAnsi="Calibri" w:eastAsia="Calibri"/>
        </w:rPr>
        <w:t xml:space="preserve">Λευκή βίβλος και υπουργικό φάκελος «dig Δραχμή (ΔΡΑΧ)»</w:t>
      </w:r>
    </w:p>
    <w:p>
      <w:pPr>
        <w:pStyle w:val="Compact"/>
        <w:numPr>
          <w:ilvl w:val="0"/>
          <w:numId w:val="1003"/>
        </w:numPr>
      </w:pPr>
      <w:r>
        <w:rPr>
          <w:rFonts w:ascii="Calibri" w:hAnsi="Calibri" w:eastAsia="Calibri"/>
        </w:rPr>
        <w:t xml:space="preserve">Executive Decision Memo</w:t>
      </w:r>
    </w:p>
    <w:p>
      <w:pPr>
        <w:pStyle w:val="Compact"/>
        <w:numPr>
          <w:ilvl w:val="0"/>
          <w:numId w:val="1003"/>
        </w:numPr>
      </w:pPr>
      <w:r>
        <w:rPr>
          <w:rFonts w:ascii="Calibri" w:hAnsi="Calibri" w:eastAsia="Calibri"/>
        </w:rPr>
        <w:t xml:space="preserve">Παρουσίαση για το Υπουργείο</w:t>
      </w:r>
    </w:p>
    <w:p>
      <w:pPr>
        <w:pStyle w:val="Compact"/>
        <w:numPr>
          <w:ilvl w:val="0"/>
          <w:numId w:val="1003"/>
        </w:numPr>
      </w:pPr>
      <w:r>
        <w:rPr>
          <w:rFonts w:ascii="Calibri" w:hAnsi="Calibri" w:eastAsia="Calibri"/>
        </w:rPr>
        <w:t xml:space="preserve">Μητρώο πηγών και κινδύνων ως μέρος του φακέλου</w:t>
      </w:r>
    </w:p>
    <w:p>
      <w:pPr>
        <w:pStyle w:val="FirstParagraph"/>
      </w:pPr>
      <w:r>
        <w:rPr>
          <w:rFonts w:ascii="Calibri" w:hAnsi="Calibri" w:eastAsia="Calibri"/>
        </w:rPr>
        <w:br w:type="page"/>
      </w:r>
    </w:p>
    <w:bookmarkStart w:id="9" w:name="X31b8e8a92bfc885a7363b26c4bb780736e27345"/>
    <w:p>
      <w:pPr>
        <w:pStyle w:val="Heading1"/>
      </w:pPr>
      <w:r>
        <w:rPr>
          <w:rFonts w:ascii="Calibri" w:hAnsi="Calibri" w:eastAsia="Calibri"/>
        </w:rPr>
        <w:t xml:space="preserve">Εσωτερικές οδηγίες προσαρμογής πριν από την αποστολή</w:t>
      </w:r>
    </w:p>
    <w:p>
      <w:pPr>
        <w:pStyle w:val="Compact"/>
        <w:numPr>
          <w:ilvl w:val="0"/>
          <w:numId w:val="1004"/>
        </w:numPr>
      </w:pPr>
      <w:r>
        <w:rPr>
          <w:rFonts w:ascii="Calibri" w:hAnsi="Calibri" w:eastAsia="Calibri"/>
        </w:rPr>
        <w:t xml:space="preserve">Συμπλήρωση παραλήπτη, υπηρεσιακής διεύθυνσης, αριθμού πρωτοκόλλου και στοιχείων επικοινωνίας.</w:t>
      </w:r>
    </w:p>
    <w:p>
      <w:pPr>
        <w:pStyle w:val="Compact"/>
        <w:numPr>
          <w:ilvl w:val="0"/>
          <w:numId w:val="1004"/>
        </w:numPr>
      </w:pPr>
      <w:r>
        <w:rPr>
          <w:rFonts w:ascii="Calibri" w:hAnsi="Calibri" w:eastAsia="Calibri"/>
        </w:rPr>
        <w:t xml:space="preserve">Η ελληνική έκδοση να ελεγχθεί από ορκωτό εξειδικευμένο μεταφραστή και Έλληνα νομικό ειδικό στο νομισματικό δίκαιο.</w:t>
      </w:r>
    </w:p>
    <w:p>
      <w:pPr>
        <w:pStyle w:val="Compact"/>
        <w:numPr>
          <w:ilvl w:val="0"/>
          <w:numId w:val="1004"/>
        </w:numPr>
      </w:pPr>
      <w:r>
        <w:rPr>
          <w:rFonts w:ascii="Calibri" w:hAnsi="Calibri" w:eastAsia="Calibri"/>
        </w:rPr>
        <w:t xml:space="preserve">Το έγγραφο να υποβληθεί όχι ως «λευκή βίβλος ενός token», αλλά ως «διεπιστημονική μελέτη σκοπιμότητας».</w:t>
      </w:r>
    </w:p>
    <w:p>
      <w:pPr>
        <w:pStyle w:val="Compact"/>
        <w:numPr>
          <w:ilvl w:val="0"/>
          <w:numId w:val="1004"/>
        </w:numPr>
      </w:pPr>
      <w:r>
        <w:rPr>
          <w:rFonts w:ascii="Calibri" w:hAnsi="Calibri" w:eastAsia="Calibri"/>
        </w:rPr>
        <w:t xml:space="preserve">Να μην περιληφθούν ισχυρισμοί περί τιμής, απόδοσης, κεφαλαιοποίησης αγοράς ή αναπόφευκτης επιτυχίας.</w:t>
      </w:r>
    </w:p>
    <w:p>
      <w:pPr>
        <w:pStyle w:val="Compact"/>
        <w:numPr>
          <w:ilvl w:val="0"/>
          <w:numId w:val="1004"/>
        </w:numPr>
      </w:pPr>
      <w:r>
        <w:rPr>
          <w:rFonts w:ascii="Calibri" w:hAnsi="Calibri" w:eastAsia="Calibri"/>
        </w:rPr>
        <w:t xml:space="preserve">Συμπλήρωση αριθμών έκδοσης και hashes των συνημμένων πριν από την αποστολή.</w:t>
      </w:r>
    </w:p>
    <w:bookmarkEnd w:id="9"/>
    <w:sectPr>
      <w:headerReference w:type="default" r:id="rId10"/>
      <w:footerReference w:type="default" r:id="rId11"/>
      <w:footnotePr>
        <w:numRestart w:val="eachSect"/>
      </w:footnotePr>
      <w:pgSz w:w="12240" w:h="15840"/>
      <w:pgMar w:top="1440" w:bottom="1440" w:left="1440" w:right="1440" w:header="648" w:footer="64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F6B7A"/>
        <w:sz w:val="16"/>
      </w:rPr>
      <w:t xml:space="preserve">Σελίδα </w:t>
    </w:r>
    <w:r>
      <w:rPr>
        <w:rFonts w:ascii="Calibri" w:hAnsi="Calibri" w:eastAsia="Calibri"/>
        <w:color w:val="5F6B7A"/>
        <w:sz w:val="16"/>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eastAsia="Calibri"/>
        <w:b/>
        <w:color w:val="5F6B7A"/>
        <w:sz w:val="16"/>
      </w:rPr>
      <w:t>ΠΡΟΓΡΑΜΜΑ DRX — ΑΝΕΞΑΡΤΗΤΗ ΔΡΑΧΜΗ  ·  ΔΡΑΧ</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l-GR"/>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264" w:lineRule="auto"/>
      <w:jc w:val="left"/>
    </w:pPr>
    <w:rPr>
      <w:rFonts w:ascii="Calibri" w:hAnsi="Calibri" w:eastAsia="Calibri"/>
      <w:sz w:val="22"/>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keepNext/>
      <w:spacing w:after="200" w:line="240" w:lineRule="auto" w:before="0"/>
      <w:contextualSpacing/>
      <w:jc w:val="center"/>
    </w:pPr>
    <w:rPr>
      <w:rFonts w:asciiTheme="majorHAnsi" w:cstheme="majorBidi" w:eastAsiaTheme="majorEastAsia" w:hAnsiTheme="majorHAnsi" w:ascii="Calibri" w:hAnsi="Calibri" w:eastAsia="Calibri"/>
      <w:b/>
      <w:color w:val="071426"/>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keepNext/>
      <w:numPr>
        <w:ilvl w:val="1"/>
      </w:numPr>
      <w:spacing w:before="0" w:after="400"/>
    </w:pPr>
    <w:rPr>
      <w:rFonts w:cstheme="majorBidi" w:eastAsiaTheme="majorEastAsia" w:ascii="Calibri" w:hAnsi="Calibri" w:eastAsia="Calibri"/>
      <w:b w:val="0"/>
      <w:color w:val="5F6B7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60" w:before="360"/>
      <w:outlineLvl w:val="0"/>
    </w:pPr>
    <w:rPr>
      <w:rFonts w:asciiTheme="majorHAnsi" w:cstheme="majorBidi" w:eastAsiaTheme="majorEastAsia" w:hAnsiTheme="majorHAnsi" w:ascii="Calibri" w:hAnsi="Calibri" w:eastAsia="Calibri"/>
      <w:b/>
      <w:color w:val="1B4F78"/>
      <w:sz w:val="32"/>
      <w:szCs w:val="40"/>
    </w:rPr>
  </w:style>
  <w:style w:styleId="Heading2" w:type="paragraph">
    <w:name w:val="heading 2"/>
    <w:basedOn w:val="Normal"/>
    <w:next w:val="BodyText"/>
    <w:link w:val="Heading2Char"/>
    <w:uiPriority w:val="9"/>
    <w:semiHidden/>
    <w:unhideWhenUsed/>
    <w:qFormat/>
    <w:rsid w:val="00A10FD9"/>
    <w:pPr>
      <w:keepNext/>
      <w:keepLines/>
      <w:spacing w:after="120" w:before="280"/>
      <w:outlineLvl w:val="1"/>
    </w:pPr>
    <w:rPr>
      <w:rFonts w:asciiTheme="majorHAnsi" w:cstheme="majorBidi" w:eastAsiaTheme="majorEastAsia" w:hAnsiTheme="majorHAnsi" w:ascii="Calibri" w:hAnsi="Calibri" w:eastAsia="Calibri"/>
      <w:b/>
      <w:color w:val="1B4F78"/>
      <w:sz w:val="26"/>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cstheme="majorBidi" w:eastAsiaTheme="majorEastAsia" w:ascii="Calibri" w:hAnsi="Calibri" w:eastAsia="Calibri"/>
      <w:b/>
      <w:color w:val="071426"/>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ΠΡΟΓΡΑΜΜΑ DRX — ΑΝΕΞΑΡΤΗΤΗ ΔΡΑΧΜΗ — Επιστολή Υποβολής προς το Υπουργείο και Πρότυπο</dc:title>
  <dc:creator>Vendetta Labs · Gio (Kaspartizan)</dc:creator>
  <dc:language>el-GR</dc:language>
  <cp:keywords/>
  <dcterms:created xsi:type="dcterms:W3CDTF">2026-09-01T14:34:07Z</dcterms:created>
  <dcterms:modified xsi:type="dcterms:W3CDTF">2026-09-01T14:34:07Z</dcterms:modified>
  <dc:subject>Δημόσια ερευνητική έκδοση · Χωρίς κρατική εντολή · Δεν αποτελεί νόμιμο μέσο πληρωμής</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 Σεπτεμβρίου 2026</vt:lpwstr>
  </property>
  <property fmtid="{D5CDD505-2E9C-101B-9397-08002B2CF9AE}" pid="3" name="subtitle">
    <vt:lpwstr>ΠΡΟΓΡΑΜΜΑ DRX — ΑΝΕΞΑΡΤΗΤΗ ΔΡΑΧΜΗ · dig Δραχμή (ΔΡΑΧ)</vt:lpwstr>
  </property>
</Properties>
</file>