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rPr>
          <w:rFonts w:ascii="Calibri" w:hAnsi="Calibri" w:eastAsia="Calibri"/>
        </w:rPr>
        <w:drawing>
          <wp:inline>
            <wp:extent cx="1024128" cy="10241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x-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4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left"/>
      </w:pPr>
      <w:r>
        <w:rPr>
          <w:rFonts w:ascii="Calibri" w:hAnsi="Calibri" w:eastAsia="Calibri"/>
          <w:b/>
          <w:color w:val="A67727"/>
          <w:sz w:val="22"/>
        </w:rPr>
        <w:t>DRX PROGRAMME — INDEPENDENT DRACHMA</w:t>
      </w:r>
    </w:p>
    <w:p>
      <w:pPr>
        <w:spacing w:after="280"/>
        <w:jc w:val="left"/>
      </w:pPr>
      <w:r>
        <w:rPr>
          <w:rFonts w:ascii="Calibri" w:hAnsi="Calibri" w:eastAsia="Calibri"/>
          <w:b/>
          <w:color w:val="5F6B7A"/>
          <w:sz w:val="17"/>
        </w:rPr>
        <w:t>HELLENIC MONETARY TECHNOLOGY INITIATIVE</w:t>
      </w:r>
    </w:p>
    <w:p>
      <w:pPr>
        <w:pStyle w:val="Title"/>
        <w:jc w:val="left"/>
      </w:pPr>
      <w:r>
        <w:rPr>
          <w:rFonts w:ascii="Calibri" w:hAnsi="Calibri" w:eastAsia="Calibri"/>
        </w:rPr>
        <w:t xml:space="preserve">Executive Decision Memorandum</w:t>
      </w:r>
    </w:p>
    <w:p>
      <w:pPr>
        <w:pStyle w:val="Subtitle"/>
        <w:jc w:val="left"/>
      </w:pPr>
      <w:r>
        <w:rPr>
          <w:rFonts w:ascii="Calibri" w:hAnsi="Calibri" w:eastAsia="Calibri"/>
        </w:rPr>
        <w:t xml:space="preserve">DRX PROGRAMME — INDEPENDENT DRACHMA · dig Δραχμή (ΔΡΑΧ)</w:t>
      </w:r>
    </w:p>
    <w:p>
      <w:pPr>
        <w:pStyle w:val="Author"/>
      </w:pPr>
      <w:r>
        <w:rPr>
          <w:rFonts w:ascii="Calibri" w:hAnsi="Calibri" w:eastAsia="Calibri"/>
        </w:rPr>
        <w:t xml:space="preserve">Vendetta Labs · Gio (Kaspartizan)</w:t>
      </w:r>
    </w:p>
    <w:p>
      <w:pPr>
        <w:pStyle w:val="Date"/>
      </w:pPr>
      <w:r>
        <w:rPr>
          <w:rFonts w:ascii="Calibri" w:hAnsi="Calibri" w:eastAsia="Calibri"/>
        </w:rPr>
        <w:t xml:space="preserve">1 September 2026</w:t>
      </w:r>
    </w:p>
    <w:p>
      <w:pPr>
        <w:pStyle w:val="FirstParagraph"/>
      </w:pPr>
      <w:r>
        <w:rPr>
          <w:rFonts w:ascii="Calibri" w:hAnsi="Calibri" w:eastAsia="Calibri"/>
          <w:b/>
          <w:bCs/>
        </w:rPr>
        <w:t xml:space="preserve">To: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Hellenic Ministry of National Economy and Finance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From: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Vendetta Labs / Gio (Kaspartizan)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Decision sought: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Limited research authorisation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Status: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Public research version of a private initiative; not commissioned or approved by the state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Not requested: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Currency introduction, mainnet token, banknotes with face value, acceptance for tax payments or legal-tender status</w:t>
      </w:r>
    </w:p>
    <w:p>
      <w:pPr>
        <w:pStyle w:val="BlockText"/>
      </w:pPr>
      <w:r>
        <w:rPr>
          <w:rFonts w:ascii="Calibri" w:hAnsi="Calibri" w:eastAsia="Calibri"/>
          <w:b/>
          <w:bCs/>
        </w:rPr>
        <w:t xml:space="preserve">Recommendation: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Approval of a 12- to 18-month Phase 0 study up to a maximum of EUR 1.6 million. The subject matter comprises legal opinions, macro simulation, a valueless Kaspa Toccata testnet prototype, and CashLot and offline laboratory tests. Any continuation carrying value requires a new decision.</w:t>
      </w:r>
    </w:p>
    <w:p>
      <w:pPr>
        <w:pStyle w:val="FirstParagraph"/>
      </w:pPr>
      <w:r>
        <w:rPr>
          <w:rFonts w:ascii="Calibri" w:hAnsi="Calibri" w:eastAsia="Calibri"/>
        </w:rPr>
        <w:br w:type="page"/>
      </w:r>
    </w:p>
    <w:bookmarkStart w:id="9" w:name="Xc52e8c49fd51c735278595900d259723f5405e3"/>
    <w:p>
      <w:pPr>
        <w:pStyle w:val="Heading1"/>
      </w:pPr>
      <w:r>
        <w:rPr>
          <w:rFonts w:ascii="Calibri" w:hAnsi="Calibri" w:eastAsia="Calibri"/>
        </w:rPr>
        <w:t xml:space="preserve">1. The decision in one sentence</w:t>
      </w:r>
    </w:p>
    <w:p>
      <w:pPr>
        <w:pStyle w:val="FirstParagraph"/>
      </w:pPr>
      <w:r>
        <w:rPr>
          <w:rFonts w:ascii="Calibri" w:hAnsi="Calibri" w:eastAsia="Calibri"/>
        </w:rPr>
        <w:t xml:space="preserve">The Ministry approves a strictly limited feasibility study to determine whether an independent unit of account, ΔΡΑΧ, as a Kaspa-native digital bearer currency as well as a fully digitally backed banknote and coin, would be technically, legally and macroeconomically defensible.</w:t>
      </w:r>
    </w:p>
    <w:bookmarkEnd w:id="9"/>
    <w:bookmarkStart w:id="10" w:name="Xec4b349b4b138ca2b08768f3ae8597acc9a2f4b"/>
    <w:p>
      <w:pPr>
        <w:pStyle w:val="Heading1"/>
      </w:pPr>
      <w:r>
        <w:rPr>
          <w:rFonts w:ascii="Calibri" w:hAnsi="Calibri" w:eastAsia="Calibri"/>
        </w:rPr>
        <w:t xml:space="preserve">2. Concept</w:t>
      </w:r>
    </w:p>
    <w:p>
      <w:pPr>
        <w:pStyle w:val="FirstParagraph"/>
      </w:pPr>
      <w:r>
        <w:rPr>
          <w:rFonts w:ascii="Calibri" w:hAnsi="Calibri" w:eastAsia="Calibri"/>
        </w:rPr>
        <w:t xml:space="preserve">ΔΡΑΧ is neither a CBDC nor a EUR/USD stablecoin. The money supply is capped in advance. Digital value, offline value, banknotes and coins belong to a single aggregate supply:</w:t>
      </w:r>
    </w:p>
    <w:p>
      <w:pPr>
        <w:pStyle w:val="BodyText"/>
      </w:pPr>
      <w:r>
        <w:rPr>
          <w:rStyle w:val="VerbatimChar"/>
          <w:rFonts w:ascii="Calibri" w:hAnsi="Calibri" w:eastAsia="Calibri"/>
        </w:rPr>
        <w:t xml:space="preserve">S = D + P + O + E ≤ Mmax</w:t>
      </w:r>
    </w:p>
    <w:p>
      <w:pPr>
        <w:pStyle w:val="BodyText"/>
      </w:pPr>
      <w:r>
        <w:rPr>
          <w:rFonts w:ascii="Calibri" w:hAnsi="Calibri" w:eastAsia="Calibri"/>
        </w:rPr>
        <w:t xml:space="preserve">Paper or metal may be issued only once the same nominal amount has been digitally locked in a CashLot. After return, authenticity verification and destruction, exactly that amount is released digitally. Banks receive no right to create money. Following a technically fixed genesis sunset, neither government nor central bank holds mint or freeze keys.</w:t>
      </w:r>
    </w:p>
    <w:bookmarkEnd w:id="10"/>
    <w:bookmarkStart w:id="11" w:name="X9934d25138808a6e4f285f7dd50b3f9ab28eb89"/>
    <w:p>
      <w:pPr>
        <w:pStyle w:val="Heading1"/>
      </w:pPr>
      <w:r>
        <w:rPr>
          <w:rFonts w:ascii="Calibri" w:hAnsi="Calibri" w:eastAsia="Calibri"/>
        </w:rPr>
        <w:t xml:space="preserve">3. Why Kaspa Toccata</w:t>
      </w:r>
    </w:p>
    <w:p>
      <w:pPr>
        <w:pStyle w:val="FirstParagraph"/>
      </w:pPr>
      <w:r>
        <w:rPr>
          <w:rFonts w:ascii="Calibri" w:hAnsi="Calibri" w:eastAsia="Calibri"/>
        </w:rPr>
        <w:t xml:space="preserve">Kaspa Toccata has been active on mainnet since 30 June 2026 and enables UTXO-native covenants. This model suits conserving bearer transfers and self-validating state transitions. The maturity of Silverscript, wallets, indexers, offline hardware and CashLot sharding is not yet sufficiently evidenced. Precisely this uncertainty justifies a testnet research programme rather than a launch.</w:t>
      </w:r>
    </w:p>
    <w:bookmarkEnd w:id="11"/>
    <w:bookmarkStart w:id="12" w:name="Xcc99baccc39874b51cdb22766597012925a3932"/>
    <w:p>
      <w:pPr>
        <w:pStyle w:val="Heading1"/>
      </w:pPr>
      <w:r>
        <w:rPr>
          <w:rFonts w:ascii="Calibri" w:hAnsi="Calibri" w:eastAsia="Calibri"/>
        </w:rPr>
        <w:t xml:space="preserve">4. Legal position</w:t>
      </w:r>
    </w:p>
    <w:p>
      <w:pPr>
        <w:pStyle w:val="FirstParagraph"/>
      </w:pPr>
      <w:r>
        <w:rPr>
          <w:rFonts w:ascii="Calibri" w:hAnsi="Calibri" w:eastAsia="Calibri"/>
        </w:rPr>
        <w:t xml:space="preserve">Within the eurozone, ΔΡΑΧ cannot be introduced as national legal tender with a general obligation of acceptance. Article 128 TFEU and the euro introduction regulation form the binding starting position. Phase 0 therefore contains only research and valueless tests. A voluntary complementary pilot at a later stage requires a joint legal opinion on MiCA, Law 5193/2025, AML/Travel Rule, data protection and monetary law. Full legal tender is described only as a scenario under complete monetary sovereignty, not recommended.</w:t>
      </w:r>
    </w:p>
    <w:p>
      <w:pPr>
        <w:pStyle w:val="BodyText"/>
      </w:pPr>
      <w:r>
        <w:rPr>
          <w:rFonts w:ascii="Calibri" w:hAnsi="Calibri" w:eastAsia="Calibri"/>
        </w:rPr>
        <w:br w:type="page"/>
      </w:r>
    </w:p>
    <w:bookmarkEnd w:id="12"/>
    <w:bookmarkStart w:id="13" w:name="Xd4fb8220de10ba7f1fcc9727242da7b5e1e3b8e"/>
    <w:p>
      <w:pPr>
        <w:pStyle w:val="Heading1"/>
      </w:pPr>
      <w:r>
        <w:rPr>
          <w:rFonts w:ascii="Calibri" w:hAnsi="Calibri" w:eastAsia="Calibri"/>
        </w:rPr>
        <w:t xml:space="preserve">5. Strategic benefit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Greece acquires its own competence in covenant money, offline payment and digitally backed cash.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Shipping, tourism, islands and the diaspora provide real, voluntary use cases for later research.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The study examines an alternative to account-based CBDCs without imitating the digital euro.</w:t>
      </w:r>
    </w:p>
    <w:p>
      <w:pPr>
        <w:pStyle w:val="Compact"/>
        <w:numPr>
          <w:ilvl w:val="0"/>
          <w:numId w:val="1001"/>
        </w:numPr>
      </w:pPr>
      <w:r>
        <w:rPr>
          <w:rFonts w:ascii="Calibri" w:hAnsi="Calibri" w:eastAsia="Calibri"/>
        </w:rPr>
        <w:t xml:space="preserve">An open-source prototype improves the state's capacity for negotiation and assessment, even if ΔΡΑΧ is never introduced.</w:t>
      </w:r>
    </w:p>
    <w:bookmarkEnd w:id="13"/>
    <w:bookmarkStart w:id="14" w:name="Xc507d45eb796ad802a0a164f1d201eb9f13b7f3"/>
    <w:p>
      <w:pPr>
        <w:pStyle w:val="Heading1"/>
      </w:pPr>
      <w:r>
        <w:rPr>
          <w:rFonts w:ascii="Calibri" w:hAnsi="Calibri" w:eastAsia="Calibri"/>
        </w:rPr>
        <w:t xml:space="preserve">6. Risks not to be glossed over</w:t>
      </w:r>
    </w:p>
    <w:tbl>
      <w:tblPr>
        <w:tblStyle w:val="Table"/>
        <w:tblW w:type="auto" w:w="0"/>
        <w:jc w:val="center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071426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 xml:space="preserve">Risk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071426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 xml:space="preserve">Honest assessment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Eurozone law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Legal tender excluded in Phase 0; voluntary pilot legally open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Third-party settlement network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Kaspa provides neutrality, but not full state autarky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Deflation/credit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A fixed supply can lower prices, increase real debt burdens and make credit more expensive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No unlimited LOLR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Crisis liquidity must be pre-funded; rescue issuance is excluded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Cash fraud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The physical arm remains institutional; lock, bond, audit and destruction limit the risk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Offline double spend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Can only be bounded through pre-funding, limits and liability, not fully eliminated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Tooling maturity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Silverscript/indexer/wallet audits are a gate, not an afterthought</w:t>
            </w:r>
          </w:p>
        </w:tc>
      </w:tr>
      <w:tr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Political framing</w:t>
            </w:r>
          </w:p>
        </w:tc>
        <w:tc>
          <w:tcPr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4F2EC"/>
          </w:tcPr>
          <w:p>
            <w:pPr>
              <w:pStyle w:val="Compact"/>
              <w:spacing w:after="40"/>
              <w:jc w:val="left"/>
            </w:pPr>
            <w:r>
              <w:rPr>
                <w:rFonts w:ascii="Calibri" w:hAnsi="Calibri" w:eastAsia="Calibri"/>
                <w:color w:val="142033"/>
                <w:sz w:val="18"/>
              </w:rPr>
              <w:t xml:space="preserve">The project must not be communicated as a covert Grexit or sanctions evasion</w:t>
            </w:r>
          </w:p>
        </w:tc>
      </w:tr>
    </w:tbl>
    <w:bookmarkEnd w:id="14"/>
    <w:bookmarkStart w:id="15" w:name="Xe7ff8cc4b67f96dad27e4ae122fd4f438b7a310"/>
    <w:p>
      <w:pPr>
        <w:pStyle w:val="Heading1"/>
      </w:pPr>
      <w:r>
        <w:rPr>
          <w:rFonts w:ascii="Calibri" w:hAnsi="Calibri" w:eastAsia="Calibri"/>
        </w:rPr>
        <w:t xml:space="preserve">7. Phase 0 work packages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EU/GR legal opinions and regulatory negative list;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open macro simulations on deflation, credit, bank run and exchange rate;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Toccata testnet prototype for Constitution, Bearer and CashLot;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three independently reproducible supply indexers;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offline secure-element laboratory test with two suppliers;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cash issuance/redemption/destruction process without real value notes;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two independent security reviews and a red-team exercise;</w:t>
      </w:r>
    </w:p>
    <w:p>
      <w:pPr>
        <w:pStyle w:val="Compact"/>
        <w:numPr>
          <w:ilvl w:val="0"/>
          <w:numId w:val="1002"/>
        </w:numPr>
      </w:pPr>
      <w:r>
        <w:rPr>
          <w:rFonts w:ascii="Calibri" w:hAnsi="Calibri" w:eastAsia="Calibri"/>
        </w:rPr>
        <w:t xml:space="preserve">public interim and final reports.</w:t>
      </w:r>
    </w:p>
    <w:bookmarkEnd w:id="15"/>
    <w:bookmarkStart w:id="16" w:name="X10a0d20c27c29005bd87068e5cac923296eee63"/>
    <w:p>
      <w:pPr>
        <w:pStyle w:val="Heading1"/>
      </w:pPr>
      <w:r>
        <w:rPr>
          <w:rFonts w:ascii="Calibri" w:hAnsi="Calibri" w:eastAsia="Calibri"/>
        </w:rPr>
        <w:t xml:space="preserve">8. Budget and governance</w:t>
      </w:r>
    </w:p>
    <w:p>
      <w:pPr>
        <w:pStyle w:val="FirstParagraph"/>
      </w:pPr>
      <w:r>
        <w:rPr>
          <w:rFonts w:ascii="Calibri" w:hAnsi="Calibri" w:eastAsia="Calibri"/>
          <w:b/>
          <w:bCs/>
        </w:rPr>
        <w:t xml:space="preserve">Budget corridor: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EUR 0.95 to 1.65 million; requested ceiling EUR 1.6 million.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Duration: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at most 18 months.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Interim decision: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month 9.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Automatic sunset: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month 18.</w:t>
      </w:r>
      <w:r>
        <w:rPr>
          <w:rFonts w:ascii="Calibri" w:hAnsi="Calibri" w:eastAsia="Calibri"/>
        </w:rPr>
        <w:br/>
      </w:r>
      <w:r>
        <w:rPr>
          <w:rFonts w:ascii="Calibri" w:hAnsi="Calibri" w:eastAsia="Calibri"/>
          <w:b/>
          <w:bCs/>
        </w:rPr>
        <w:t xml:space="preserve">Observers: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BoG, HCMC, Data Protection Authority, Court of Audit, universities, banking, shipping, island and consumer representatives.</w:t>
      </w:r>
    </w:p>
    <w:p>
      <w:pPr>
        <w:pStyle w:val="BodyText"/>
      </w:pPr>
      <w:r>
        <w:rPr>
          <w:rFonts w:ascii="Calibri" w:hAnsi="Calibri" w:eastAsia="Calibri"/>
        </w:rPr>
        <w:br w:type="page"/>
      </w:r>
    </w:p>
    <w:bookmarkEnd w:id="16"/>
    <w:bookmarkStart w:id="17" w:name="X84508cebe0cd3f64d2932ff05884f19e28975cf"/>
    <w:p>
      <w:pPr>
        <w:pStyle w:val="Heading1"/>
      </w:pPr>
      <w:r>
        <w:rPr>
          <w:rFonts w:ascii="Calibri" w:hAnsi="Calibri" w:eastAsia="Calibri"/>
        </w:rPr>
        <w:t xml:space="preserve">9. Hard stop criteria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no defensible legal framework even for the limited pilot;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Mmax/double-counting invariants not independently provable;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Toccata/Silverscript toolchain without a sufficient audit baseline;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offline or CashLot losses above the approved risk budget;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migration away from Kaspa not demonstrable without double-validity risk;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banking/crisis regime not viable under stress testing;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genesis sunset technically circumventable;</w:t>
      </w:r>
    </w:p>
    <w:p>
      <w:pPr>
        <w:pStyle w:val="Compact"/>
        <w:numPr>
          <w:ilvl w:val="0"/>
          <w:numId w:val="1003"/>
        </w:numPr>
      </w:pPr>
      <w:r>
        <w:rPr>
          <w:rFonts w:ascii="Calibri" w:hAnsi="Calibri" w:eastAsia="Calibri"/>
        </w:rPr>
        <w:t xml:space="preserve">project communication becomes a de facto currency introduction without a decision.</w:t>
      </w:r>
    </w:p>
    <w:bookmarkEnd w:id="17"/>
    <w:bookmarkStart w:id="18" w:name="X5d3c69ef2edeb0a83b9ce636fa0b6abaa621c80"/>
    <w:p>
      <w:pPr>
        <w:pStyle w:val="Heading1"/>
      </w:pPr>
      <w:r>
        <w:rPr>
          <w:rFonts w:ascii="Calibri" w:hAnsi="Calibri" w:eastAsia="Calibri"/>
        </w:rPr>
        <w:t xml:space="preserve">10. Proposed resolution</w:t>
      </w:r>
    </w:p>
    <w:p>
      <w:pPr>
        <w:pStyle w:val="FirstParagraph"/>
      </w:pPr>
      <w:r>
        <w:rPr>
          <w:rFonts w:ascii="Calibri" w:hAnsi="Calibri" w:eastAsia="Calibri"/>
        </w:rPr>
        <w:t xml:space="preserve">The Ministry resolves: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to establish the research programme "ΔΡΑΧ Phase 0" for a maximum of 18 months;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a milestone-based funding ceiling of EUR 1.6 million;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the express limitation to testnet, simulation and legal opinions;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the publication of invariants, source code, audit results and known limitations;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an interim decision after nine months;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automatic termination absent a separate continuation resolution;</w:t>
      </w:r>
    </w:p>
    <w:p>
      <w:pPr>
        <w:pStyle w:val="Compact"/>
        <w:numPr>
          <w:ilvl w:val="0"/>
          <w:numId w:val="1004"/>
        </w:numPr>
      </w:pPr>
      <w:r>
        <w:rPr>
          <w:rFonts w:ascii="Calibri" w:hAnsi="Calibri" w:eastAsia="Calibri"/>
        </w:rPr>
        <w:t xml:space="preserve">the presentation of a final report with the options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  <w:b/>
          <w:bCs/>
        </w:rPr>
        <w:t xml:space="preserve">No-Go</w:t>
      </w:r>
      <w:r>
        <w:rPr>
          <w:rFonts w:ascii="Calibri" w:hAnsi="Calibri" w:eastAsia="Calibri"/>
        </w:rPr>
        <w:t xml:space="preserve">,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  <w:b/>
          <w:bCs/>
        </w:rPr>
        <w:t xml:space="preserve">Research-Only</w:t>
      </w:r>
      <w:r>
        <w:rPr>
          <w:rFonts w:ascii="Calibri" w:hAnsi="Calibri" w:eastAsia="Calibri"/>
        </w:rPr>
        <w:t xml:space="preserve">,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  <w:b/>
          <w:bCs/>
        </w:rPr>
        <w:t xml:space="preserve">limited voluntary pilot following legal clearance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 xml:space="preserve">or</w:t>
      </w:r>
      <w:r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  <w:b/>
          <w:bCs/>
        </w:rPr>
        <w:t xml:space="preserve">separate sovereign scenario assessment</w:t>
      </w:r>
      <w:r>
        <w:rPr>
          <w:rFonts w:ascii="Calibri" w:hAnsi="Calibri" w:eastAsia="Calibri"/>
        </w:rPr>
        <w:t xml:space="preserve">.</w:t>
      </w:r>
    </w:p>
    <w:bookmarkEnd w:id="18"/>
    <w:bookmarkStart w:id="19" w:name="X8df07617c7d430337ffec65e8bd102df5436340"/>
    <w:p>
      <w:pPr>
        <w:pStyle w:val="Heading1"/>
      </w:pPr>
      <w:r>
        <w:rPr>
          <w:rFonts w:ascii="Calibri" w:hAnsi="Calibri" w:eastAsia="Calibri"/>
        </w:rPr>
        <w:t xml:space="preserve">11. Core sources</w:t>
      </w:r>
    </w:p>
    <w:p>
      <w:pPr>
        <w:pStyle w:val="FirstParagraph"/>
      </w:pPr>
      <w:r>
        <w:rPr>
          <w:rFonts w:ascii="Calibri" w:hAnsi="Calibri" w:eastAsia="Calibri"/>
        </w:rPr>
        <w:t xml:space="preserve">Kaspa Toccata Dev Guide; Article 128 TFEU; Regulation (EC) No 974/98; MiCA (EU) 2023/1114; Law 5193/2025/Bank of Greece; EU Regulations 2023/1113 and 2024/1624; ECB Digital Euro FAQ; UNCTAD Review of Maritime Transport 2025; Bank of Greece Tourism 2025. Full register in the whitepaper.</w:t>
      </w:r>
    </w:p>
    <w:bookmarkEnd w:id="19"/>
    <w:sectPr>
      <w:headerReference w:type="default" r:id="rId10"/>
      <w:footerReference w:type="default" r:id="rId11"/>
      <w:footnotePr>
        <w:numRestart w:val="eachSect"/>
      </w:footnotePr>
      <w:pgSz w:w="12240" w:h="15840"/>
      <w:pgMar w:top="1440" w:bottom="1440" w:left="1440" w:right="1440" w:header="648" w:footer="648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5F6B7A"/>
        <w:sz w:val="16"/>
      </w:rPr>
      <w:t xml:space="preserve">Page </w:t>
    </w:r>
    <w:r>
      <w:rPr>
        <w:rFonts w:ascii="Calibri" w:hAnsi="Calibri" w:eastAsia="Calibri"/>
        <w:color w:val="5F6B7A"/>
        <w:sz w:val="16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Calibri"/>
        <w:b/>
        <w:color w:val="5F6B7A"/>
        <w:sz w:val="16"/>
      </w:rPr>
      <w:t>DRX PROGRAMME — INDEPENDENT DRACHMA  ·  ΔΡΑΧ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line="264" w:lineRule="auto"/>
      <w:jc w:val="left"/>
    </w:pPr>
    <w:rPr>
      <w:rFonts w:ascii="Calibri" w:hAnsi="Calibri" w:eastAsia="Calibri"/>
      <w:sz w:val="22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keepNext/>
      <w:spacing w:after="200" w:line="240" w:lineRule="auto" w:before="0"/>
      <w:contextualSpacing/>
      <w:jc w:val="center"/>
    </w:pPr>
    <w:rPr>
      <w:rFonts w:asciiTheme="majorHAnsi" w:cstheme="majorBidi" w:eastAsiaTheme="majorEastAsia" w:hAnsiTheme="majorHAnsi" w:ascii="Calibri" w:hAnsi="Calibri" w:eastAsia="Calibri"/>
      <w:b/>
      <w:color w:val="071426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keepNext/>
      <w:numPr>
        <w:ilvl w:val="1"/>
      </w:numPr>
      <w:spacing w:before="0" w:after="400"/>
    </w:pPr>
    <w:rPr>
      <w:rFonts w:cstheme="majorBidi" w:eastAsiaTheme="majorEastAsia" w:ascii="Calibri" w:hAnsi="Calibri" w:eastAsia="Calibri"/>
      <w:b w:val="0"/>
      <w:color w:val="5F6B7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60" w:before="360"/>
      <w:outlineLvl w:val="0"/>
    </w:pPr>
    <w:rPr>
      <w:rFonts w:asciiTheme="majorHAnsi" w:cstheme="majorBidi" w:eastAsiaTheme="majorEastAsia" w:hAnsiTheme="majorHAnsi" w:ascii="Calibri" w:hAnsi="Calibri" w:eastAsia="Calibri"/>
      <w:b/>
      <w:color w:val="1B4F78"/>
      <w:sz w:val="3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80"/>
      <w:outlineLvl w:val="1"/>
    </w:pPr>
    <w:rPr>
      <w:rFonts w:asciiTheme="majorHAnsi" w:cstheme="majorBidi" w:eastAsiaTheme="majorEastAsia" w:hAnsiTheme="majorHAnsi" w:ascii="Calibri" w:hAnsi="Calibri" w:eastAsia="Calibri"/>
      <w:b/>
      <w:color w:val="1B4F78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200"/>
      <w:outlineLvl w:val="2"/>
    </w:pPr>
    <w:rPr>
      <w:rFonts w:cstheme="majorBidi" w:eastAsiaTheme="majorEastAsia" w:ascii="Calibri" w:hAnsi="Calibri" w:eastAsia="Calibri"/>
      <w:b/>
      <w:color w:val="071426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image1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DRX PROGRAMME — INDEPENDENT DRACHMA — Executive Decision Memorandum</dc:title>
  <dc:creator>Vendetta Labs · Gio (Kaspartizan)</dc:creator>
  <dc:language>en-GB</dc:language>
  <cp:keywords/>
  <dcterms:created xsi:type="dcterms:W3CDTF">2026-09-01T14:34:05Z</dcterms:created>
  <dcterms:modified xsi:type="dcterms:W3CDTF">2026-09-01T14:34:05Z</dcterms:modified>
  <dc:subject>Public research edition · No government mandate · No legal tender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 September 2026</vt:lpwstr>
  </property>
  <property fmtid="{D5CDD505-2E9C-101B-9397-08002B2CF9AE}" pid="3" name="subtitle">
    <vt:lpwstr>DRX PROGRAMME — INDEPENDENT DRACHMA · dig Δραχμή (ΔΡΑΧ)</vt:lpwstr>
  </property>
</Properties>
</file>