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DRX PROGRAMME — INDEPENDENT DRACHMA</w:t>
      </w:r>
    </w:p>
    <w:p>
      <w:pPr>
        <w:spacing w:after="280"/>
        <w:jc w:val="left"/>
      </w:pPr>
      <w:r>
        <w:rPr>
          <w:rFonts w:ascii="Calibri" w:hAnsi="Calibri" w:eastAsia="Calibri"/>
          <w:b/>
          <w:color w:val="5F6B7A"/>
          <w:sz w:val="17"/>
        </w:rPr>
        <w:t>HELLENIC MONETARY TECHNOLOGY INITIATIVE</w:t>
      </w:r>
    </w:p>
    <w:p>
      <w:pPr>
        <w:pStyle w:val="Title"/>
        <w:jc w:val="left"/>
      </w:pPr>
      <w:r>
        <w:rPr>
          <w:rFonts w:ascii="Calibri" w:hAnsi="Calibri" w:eastAsia="Calibri"/>
        </w:rPr>
        <w:t xml:space="preserve">Ministry Submission Letter and Template</w:t>
      </w:r>
    </w:p>
    <w:p>
      <w:pPr>
        <w:pStyle w:val="Subtitle"/>
        <w:jc w:val="left"/>
      </w:pPr>
      <w:r>
        <w:rPr>
          <w:rFonts w:ascii="Calibri" w:hAnsi="Calibri" w:eastAsia="Calibri"/>
        </w:rPr>
        <w:t xml:space="preserve">DRX PROGRAMME — INDEPENDENT DRACHMA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1 September 2026</w:t>
      </w:r>
    </w:p>
    <w:p>
      <w:pPr>
        <w:pStyle w:val="FirstParagraph"/>
      </w:pPr>
      <w:r>
        <w:rPr>
          <w:rFonts w:ascii="Calibri" w:hAnsi="Calibri" w:eastAsia="Calibri"/>
          <w:b/>
          <w:bCs/>
        </w:rPr>
        <w:t xml:space="preserve">To</w:t>
      </w:r>
      <w:r>
        <w:rPr>
          <w:rFonts w:ascii="Calibri" w:hAnsi="Calibri" w:eastAsia="Calibri"/>
        </w:rPr>
        <w:br/>
      </w:r>
      <w:r>
        <w:rPr>
          <w:rFonts w:ascii="Calibri" w:hAnsi="Calibri" w:eastAsia="Calibri"/>
        </w:rPr>
        <w:t xml:space="preserve">Hellenic Ministry of National Economy and Finance</w:t>
      </w:r>
      <w:r>
        <w:rPr>
          <w:rFonts w:ascii="Calibri" w:hAnsi="Calibri" w:eastAsia="Calibri"/>
        </w:rPr>
        <w:br/>
      </w:r>
      <w:r>
        <w:rPr>
          <w:rFonts w:ascii="Calibri" w:hAnsi="Calibri" w:eastAsia="Calibri"/>
        </w:rPr>
        <w:t xml:space="preserve">Attn: [Name / Function]</w:t>
      </w:r>
      <w:r>
        <w:rPr>
          <w:rFonts w:ascii="Calibri" w:hAnsi="Calibri" w:eastAsia="Calibri"/>
        </w:rPr>
        <w:br/>
      </w:r>
      <w:r>
        <w:rPr>
          <w:rFonts w:ascii="Calibri" w:hAnsi="Calibri" w:eastAsia="Calibri"/>
        </w:rPr>
        <w:t xml:space="preserve">[Official address]</w:t>
      </w:r>
    </w:p>
    <w:p>
      <w:pPr>
        <w:pStyle w:val="BodyText"/>
      </w:pPr>
      <w:r>
        <w:rPr>
          <w:rFonts w:ascii="Calibri" w:hAnsi="Calibri" w:eastAsia="Calibri"/>
          <w:b/>
          <w:bCs/>
        </w:rPr>
        <w:t xml:space="preserve">From</w:t>
      </w:r>
      <w:r>
        <w:rPr>
          <w:rFonts w:ascii="Calibri" w:hAnsi="Calibri" w:eastAsia="Calibri"/>
        </w:rPr>
        <w:br/>
      </w:r>
      <w:r>
        <w:rPr>
          <w:rFonts w:ascii="Calibri" w:hAnsi="Calibri" w:eastAsia="Calibri"/>
        </w:rPr>
        <w:t xml:space="preserve">Vendetta Labs</w:t>
      </w:r>
      <w:r>
        <w:rPr>
          <w:rFonts w:ascii="Calibri" w:hAnsi="Calibri" w:eastAsia="Calibri"/>
        </w:rPr>
        <w:br/>
      </w:r>
      <w:r>
        <w:rPr>
          <w:rFonts w:ascii="Calibri" w:hAnsi="Calibri" w:eastAsia="Calibri"/>
        </w:rPr>
        <w:t xml:space="preserve">Gio (Kaspartizan)</w:t>
      </w:r>
      <w:r>
        <w:rPr>
          <w:rFonts w:ascii="Calibri" w:hAnsi="Calibri" w:eastAsia="Calibri"/>
        </w:rPr>
        <w:br/>
      </w:r>
      <w:r>
        <w:rPr>
          <w:rFonts w:ascii="Calibri" w:hAnsi="Calibri" w:eastAsia="Calibri"/>
        </w:rPr>
        <w:t xml:space="preserve">[Address] · [E-mail] · [Telephone]</w:t>
      </w:r>
    </w:p>
    <w:p>
      <w:pPr>
        <w:pStyle w:val="BodyText"/>
      </w:pPr>
      <w:r>
        <w:rPr>
          <w:rFonts w:ascii="Calibri" w:hAnsi="Calibri" w:eastAsia="Calibri"/>
          <w:b/>
          <w:bCs/>
        </w:rPr>
        <w:t xml:space="preserve">Subject:</w:t>
      </w:r>
      <w:r>
        <w:rPr>
          <w:rFonts w:ascii="Calibri" w:hAnsi="Calibri" w:eastAsia="Calibri"/>
        </w:rPr>
        <w:t xml:space="preserve"> </w:t>
      </w:r>
      <w:r>
        <w:rPr>
          <w:rFonts w:ascii="Calibri" w:hAnsi="Calibri" w:eastAsia="Calibri"/>
        </w:rPr>
        <w:t xml:space="preserve">Request for technical review and limited research authorisation - "dig Δραχμή (ΔΡΑΧ)", Phase 0</w:t>
      </w:r>
    </w:p>
    <w:p>
      <w:pPr>
        <w:pStyle w:val="BodyText"/>
      </w:pPr>
      <w:r>
        <w:rPr>
          <w:rFonts w:ascii="Calibri" w:hAnsi="Calibri" w:eastAsia="Calibri"/>
        </w:rPr>
        <w:t xml:space="preserve">Dear Sir or Madam,</w:t>
      </w:r>
    </w:p>
    <w:p>
      <w:pPr>
        <w:pStyle w:val="BodyText"/>
      </w:pPr>
      <w:r>
        <w:rPr>
          <w:rFonts w:ascii="Calibri" w:hAnsi="Calibri" w:eastAsia="Calibri"/>
        </w:rPr>
        <w:t xml:space="preserve">please find enclosed a preliminary feasibility study for an independent, hard unit of account under the working title</w:t>
      </w:r>
      <w:r>
        <w:rPr>
          <w:rFonts w:ascii="Calibri" w:hAnsi="Calibri" w:eastAsia="Calibri"/>
        </w:rPr>
        <w:t xml:space="preserve"> </w:t>
      </w:r>
      <w:r>
        <w:rPr>
          <w:rFonts w:ascii="Calibri" w:hAnsi="Calibri" w:eastAsia="Calibri"/>
          <w:b/>
          <w:bCs/>
        </w:rPr>
        <w:t xml:space="preserve">dig Δραχμή (ΔΡΑΧ)</w:t>
      </w:r>
      <w:r>
        <w:rPr>
          <w:rFonts w:ascii="Calibri" w:hAnsi="Calibri" w:eastAsia="Calibri"/>
        </w:rPr>
        <w:t xml:space="preserve">. The concept examines a digital bearer currency on Kaspa Toccata operating together with offline-capable value and fully digitally backed banknotes and coins within a single, publicly auditable money supply.</w:t>
      </w:r>
    </w:p>
    <w:p>
      <w:pPr>
        <w:pStyle w:val="BodyText"/>
      </w:pPr>
      <w:r>
        <w:rPr>
          <w:rFonts w:ascii="Calibri" w:hAnsi="Calibri" w:eastAsia="Calibri"/>
        </w:rPr>
        <w:t xml:space="preserve">The proposal is expressly</w:t>
      </w:r>
      <w:r>
        <w:rPr>
          <w:rFonts w:ascii="Calibri" w:hAnsi="Calibri" w:eastAsia="Calibri"/>
        </w:rPr>
        <w:t xml:space="preserve"> </w:t>
      </w:r>
      <w:r>
        <w:rPr>
          <w:rFonts w:ascii="Calibri" w:hAnsi="Calibri" w:eastAsia="Calibri"/>
          <w:b/>
          <w:bCs/>
        </w:rPr>
        <w:t xml:space="preserve">neither an application for the introduction of a currency nor a recommendation to leave the eurozone</w:t>
      </w:r>
      <w:r>
        <w:rPr>
          <w:rFonts w:ascii="Calibri" w:hAnsi="Calibri" w:eastAsia="Calibri"/>
        </w:rPr>
        <w:t xml:space="preserve">. Within the applicable legal framework, only a time-limited Phase 0 is requested: legal opinions, macroeconomic simulations, a valueless testnet prototype and technical laboratory tests. No tokens with real monetary value, no national banknotes or coins, no acceptance for tax payments and no statutory obligation of acceptance are to be created.</w:t>
      </w:r>
    </w:p>
    <w:p>
      <w:pPr>
        <w:pStyle w:val="BodyText"/>
      </w:pPr>
      <w:r>
        <w:rPr>
          <w:rFonts w:ascii="Calibri" w:hAnsi="Calibri" w:eastAsia="Calibri"/>
        </w:rPr>
        <w:t xml:space="preserve">The system follows four verifiable principles:</w:t>
      </w:r>
    </w:p>
    <w:p>
      <w:pPr>
        <w:pStyle w:val="Compact"/>
        <w:numPr>
          <w:ilvl w:val="0"/>
          <w:numId w:val="1001"/>
        </w:numPr>
      </w:pPr>
      <w:r>
        <w:rPr>
          <w:rFonts w:ascii="Calibri" w:hAnsi="Calibri" w:eastAsia="Calibri"/>
        </w:rPr>
        <w:t xml:space="preserve">The total supply is capped in advance; government, bank and governance hold no emergency mint right.</w:t>
      </w:r>
    </w:p>
    <w:p>
      <w:pPr>
        <w:pStyle w:val="Compact"/>
        <w:numPr>
          <w:ilvl w:val="0"/>
          <w:numId w:val="1001"/>
        </w:numPr>
      </w:pPr>
      <w:r>
        <w:rPr>
          <w:rFonts w:ascii="Calibri" w:hAnsi="Calibri" w:eastAsia="Calibri"/>
        </w:rPr>
        <w:t xml:space="preserve">Digital value, offline value, paper and metal are forms of the same unit. Physical money is created only against an equal on-chain lock.</w:t>
      </w:r>
    </w:p>
    <w:p>
      <w:pPr>
        <w:pStyle w:val="Compact"/>
        <w:numPr>
          <w:ilvl w:val="0"/>
          <w:numId w:val="1001"/>
        </w:numPr>
      </w:pPr>
      <w:r>
        <w:rPr>
          <w:rFonts w:ascii="Calibri" w:hAnsi="Calibri" w:eastAsia="Calibri"/>
        </w:rPr>
        <w:t xml:space="preserve">The state is a time-limited Genesis Steward. Mint, freeze and upgrade powers end after a technically fixed sunset.</w:t>
      </w:r>
    </w:p>
    <w:p>
      <w:pPr>
        <w:pStyle w:val="Compact"/>
        <w:numPr>
          <w:ilvl w:val="0"/>
          <w:numId w:val="1001"/>
        </w:numPr>
      </w:pPr>
      <w:r>
        <w:rPr>
          <w:rFonts w:ascii="Calibri" w:hAnsi="Calibri" w:eastAsia="Calibri"/>
        </w:rPr>
        <w:t xml:space="preserve">The study states the counter-arguments openly: eurozone law, Kaspa dependency, deflation and credit risks, the absence of an unlimited lender of last resort, offline double spend and institutional trust in the cash arm.</w:t>
      </w:r>
    </w:p>
    <w:p>
      <w:pPr>
        <w:pStyle w:val="FirstParagraph"/>
      </w:pPr>
      <w:r>
        <w:rPr>
          <w:rFonts w:ascii="Calibri" w:hAnsi="Calibri" w:eastAsia="Calibri"/>
        </w:rPr>
        <w:t xml:space="preserve">Requested is the establishment of a cross-departmental research programme for at most 18 months with a milestone-based ceiling of EUR 1.6 million. An interim decision is to be taken after nine months; absent a new resolution, the programme ends automatically. The Bank of Greece, the Hellenic Capital Market Commission, the Data Protection Authority, the Court of Audit and independent legal, macro and security experts should be involved as observers or reviewers respectively.</w:t>
      </w:r>
    </w:p>
    <w:p>
      <w:pPr>
        <w:pStyle w:val="BodyText"/>
      </w:pPr>
      <w:r>
        <w:rPr>
          <w:rFonts w:ascii="Calibri" w:hAnsi="Calibri" w:eastAsia="Calibri"/>
        </w:rPr>
        <w:t xml:space="preserve">The benefit to the state exists even if the outcome is "No-Go": Greece gains robust competence in UTXO covenants, digitally backed cash, offline payments and rule-bound monetary architecture. The study thereby strengthens the ability to assess future international payment and digital-money models on their merits.</w:t>
      </w:r>
    </w:p>
    <w:p>
      <w:pPr>
        <w:pStyle w:val="BodyText"/>
      </w:pPr>
      <w:r>
        <w:rPr>
          <w:rFonts w:ascii="Calibri" w:hAnsi="Calibri" w:eastAsia="Calibri"/>
        </w:rPr>
        <w:t xml:space="preserve">I request:</w:t>
      </w:r>
    </w:p>
    <w:p>
      <w:pPr>
        <w:pStyle w:val="Compact"/>
        <w:numPr>
          <w:ilvl w:val="0"/>
          <w:numId w:val="1002"/>
        </w:numPr>
      </w:pPr>
      <w:r>
        <w:rPr>
          <w:rFonts w:ascii="Calibri" w:hAnsi="Calibri" w:eastAsia="Calibri"/>
        </w:rPr>
        <w:t xml:space="preserve">designation of a technical point of contact;</w:t>
      </w:r>
    </w:p>
    <w:p>
      <w:pPr>
        <w:pStyle w:val="Compact"/>
        <w:numPr>
          <w:ilvl w:val="0"/>
          <w:numId w:val="1002"/>
        </w:numPr>
      </w:pPr>
      <w:r>
        <w:rPr>
          <w:rFonts w:ascii="Calibri" w:hAnsi="Calibri" w:eastAsia="Calibri"/>
        </w:rPr>
        <w:t xml:space="preserve">review of the enclosed decision memorandum;</w:t>
      </w:r>
    </w:p>
    <w:p>
      <w:pPr>
        <w:pStyle w:val="Compact"/>
        <w:numPr>
          <w:ilvl w:val="0"/>
          <w:numId w:val="1002"/>
        </w:numPr>
      </w:pPr>
      <w:r>
        <w:rPr>
          <w:rFonts w:ascii="Calibri" w:hAnsi="Calibri" w:eastAsia="Calibri"/>
        </w:rPr>
        <w:t xml:space="preserve">permission to present the project in a technical and legal expert discussion;</w:t>
      </w:r>
    </w:p>
    <w:p>
      <w:pPr>
        <w:pStyle w:val="Compact"/>
        <w:numPr>
          <w:ilvl w:val="0"/>
          <w:numId w:val="1002"/>
        </w:numPr>
      </w:pPr>
      <w:r>
        <w:rPr>
          <w:rFonts w:ascii="Calibri" w:hAnsi="Calibri" w:eastAsia="Calibri"/>
        </w:rPr>
        <w:t xml:space="preserve">in the event of fundamental interest, the drafting of a formal Phase 0 mandate under ministerial direction.</w:t>
      </w:r>
    </w:p>
    <w:p>
      <w:pPr>
        <w:pStyle w:val="FirstParagraph"/>
      </w:pPr>
      <w:r>
        <w:rPr>
          <w:rFonts w:ascii="Calibri" w:hAnsi="Calibri" w:eastAsia="Calibri"/>
        </w:rPr>
        <w:t xml:space="preserve">Yours faithfully,</w:t>
      </w:r>
    </w:p>
    <w:p>
      <w:pPr>
        <w:pStyle w:val="BodyText"/>
      </w:pPr>
      <w:r>
        <w:rPr>
          <w:rFonts w:ascii="Calibri" w:hAnsi="Calibri" w:eastAsia="Calibri"/>
          <w:b/>
          <w:bCs/>
        </w:rPr>
        <w:t xml:space="preserve">Gio (Kaspartizan)</w:t>
      </w:r>
      <w:r>
        <w:rPr>
          <w:rFonts w:ascii="Calibri" w:hAnsi="Calibri" w:eastAsia="Calibri"/>
        </w:rPr>
        <w:br/>
      </w:r>
      <w:r>
        <w:rPr>
          <w:rFonts w:ascii="Calibri" w:hAnsi="Calibri" w:eastAsia="Calibri"/>
        </w:rPr>
        <w:t xml:space="preserve">Vendetta Labs</w:t>
      </w:r>
    </w:p>
    <w:p>
      <w:pPr>
        <w:pStyle w:val="BodyText"/>
      </w:pPr>
      <w:r>
        <w:rPr>
          <w:rFonts w:ascii="Calibri" w:hAnsi="Calibri" w:eastAsia="Calibri"/>
          <w:b/>
          <w:bCs/>
        </w:rPr>
        <w:t xml:space="preserve">Enclosures:</w:t>
      </w:r>
    </w:p>
    <w:p>
      <w:pPr>
        <w:pStyle w:val="Compact"/>
        <w:numPr>
          <w:ilvl w:val="0"/>
          <w:numId w:val="1003"/>
        </w:numPr>
      </w:pPr>
      <w:r>
        <w:rPr>
          <w:rFonts w:ascii="Calibri" w:hAnsi="Calibri" w:eastAsia="Calibri"/>
        </w:rPr>
        <w:t xml:space="preserve">Whitepaper and ministerial dossier "dig Δραχμή (ΔΡΑΧ)"</w:t>
      </w:r>
    </w:p>
    <w:p>
      <w:pPr>
        <w:pStyle w:val="Compact"/>
        <w:numPr>
          <w:ilvl w:val="0"/>
          <w:numId w:val="1003"/>
        </w:numPr>
      </w:pPr>
      <w:r>
        <w:rPr>
          <w:rFonts w:ascii="Calibri" w:hAnsi="Calibri" w:eastAsia="Calibri"/>
        </w:rPr>
        <w:t xml:space="preserve">Executive Decision Memo</w:t>
      </w:r>
    </w:p>
    <w:p>
      <w:pPr>
        <w:pStyle w:val="Compact"/>
        <w:numPr>
          <w:ilvl w:val="0"/>
          <w:numId w:val="1003"/>
        </w:numPr>
      </w:pPr>
      <w:r>
        <w:rPr>
          <w:rFonts w:ascii="Calibri" w:hAnsi="Calibri" w:eastAsia="Calibri"/>
        </w:rPr>
        <w:t xml:space="preserve">Ministry presentation</w:t>
      </w:r>
    </w:p>
    <w:p>
      <w:pPr>
        <w:pStyle w:val="Compact"/>
        <w:numPr>
          <w:ilvl w:val="0"/>
          <w:numId w:val="1003"/>
        </w:numPr>
      </w:pPr>
      <w:r>
        <w:rPr>
          <w:rFonts w:ascii="Calibri" w:hAnsi="Calibri" w:eastAsia="Calibri"/>
        </w:rPr>
        <w:t xml:space="preserve">Source and risk register as part of the dossier</w:t>
      </w:r>
    </w:p>
    <w:p>
      <w:pPr>
        <w:pStyle w:val="FirstParagraph"/>
      </w:pPr>
      <w:r>
        <w:rPr>
          <w:rFonts w:ascii="Calibri" w:hAnsi="Calibri" w:eastAsia="Calibri"/>
        </w:rPr>
        <w:br w:type="page"/>
      </w:r>
    </w:p>
    <w:bookmarkStart w:id="9" w:name="X96f4975b75f95eaff7316d2963453252932544c"/>
    <w:p>
      <w:pPr>
        <w:pStyle w:val="Heading1"/>
      </w:pPr>
      <w:r>
        <w:rPr>
          <w:rFonts w:ascii="Calibri" w:hAnsi="Calibri" w:eastAsia="Calibri"/>
        </w:rPr>
        <w:t xml:space="preserve">Internal adjustment notes before dispatch</w:t>
      </w:r>
    </w:p>
    <w:p>
      <w:pPr>
        <w:pStyle w:val="Compact"/>
        <w:numPr>
          <w:ilvl w:val="0"/>
          <w:numId w:val="1004"/>
        </w:numPr>
      </w:pPr>
      <w:r>
        <w:rPr>
          <w:rFonts w:ascii="Calibri" w:hAnsi="Calibri" w:eastAsia="Calibri"/>
        </w:rPr>
        <w:t xml:space="preserve">Complete addressee, official address, file reference and contact details.</w:t>
      </w:r>
    </w:p>
    <w:p>
      <w:pPr>
        <w:pStyle w:val="Compact"/>
        <w:numPr>
          <w:ilvl w:val="0"/>
          <w:numId w:val="1004"/>
        </w:numPr>
      </w:pPr>
      <w:r>
        <w:rPr>
          <w:rFonts w:ascii="Calibri" w:hAnsi="Calibri" w:eastAsia="Calibri"/>
        </w:rPr>
        <w:t xml:space="preserve">Have the Greek translation reviewed by a sworn specialist translator and a Greek monetary lawyer.</w:t>
      </w:r>
    </w:p>
    <w:p>
      <w:pPr>
        <w:pStyle w:val="Compact"/>
        <w:numPr>
          <w:ilvl w:val="0"/>
          <w:numId w:val="1004"/>
        </w:numPr>
      </w:pPr>
      <w:r>
        <w:rPr>
          <w:rFonts w:ascii="Calibri" w:hAnsi="Calibri" w:eastAsia="Calibri"/>
        </w:rPr>
        <w:t xml:space="preserve">Submit the document not as a "token whitepaper" but as an "interdisciplinary feasibility study".</w:t>
      </w:r>
    </w:p>
    <w:p>
      <w:pPr>
        <w:pStyle w:val="Compact"/>
        <w:numPr>
          <w:ilvl w:val="0"/>
          <w:numId w:val="1004"/>
        </w:numPr>
      </w:pPr>
      <w:r>
        <w:rPr>
          <w:rFonts w:ascii="Calibri" w:hAnsi="Calibri" w:eastAsia="Calibri"/>
        </w:rPr>
        <w:t xml:space="preserve">Include no price, return, market-capitalisation or inevitability claims.</w:t>
      </w:r>
    </w:p>
    <w:p>
      <w:pPr>
        <w:pStyle w:val="Compact"/>
        <w:numPr>
          <w:ilvl w:val="0"/>
          <w:numId w:val="1004"/>
        </w:numPr>
      </w:pPr>
      <w:r>
        <w:rPr>
          <w:rFonts w:ascii="Calibri" w:hAnsi="Calibri" w:eastAsia="Calibri"/>
        </w:rPr>
        <w:t xml:space="preserve">Add enclosure version numbers and hashes before dispatch.</w:t>
      </w:r>
    </w:p>
    <w:bookmarkEnd w:id="9"/>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Page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DRX PROGRAMME — INDEPENDENT DRACHMA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64" w:lineRule="auto"/>
      <w:jc w:val="left"/>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DRX PROGRAMME — INDEPENDENT DRACHMA — Ministry Submission Letter and Template</dc:title>
  <dc:creator>Vendetta Labs · Gio (Kaspartizan)</dc:creator>
  <dc:language>en-GB</dc:language>
  <cp:keywords/>
  <dcterms:created xsi:type="dcterms:W3CDTF">2026-09-01T14:34:05Z</dcterms:created>
  <dcterms:modified xsi:type="dcterms:W3CDTF">2026-09-01T14:34:05Z</dcterms:modified>
  <dc:subject>Public research edition · No government mandate · No legal tender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 September 2026</vt:lpwstr>
  </property>
  <property fmtid="{D5CDD505-2E9C-101B-9397-08002B2CF9AE}" pid="3" name="subtitle">
    <vt:lpwstr>DRX PROGRAMME — INDEPENDENT DRACHMA · dig Δραχμή (ΔΡΑΧ)</vt:lpwstr>
  </property>
</Properties>
</file>